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bookmarkStart w:id="0" w:name="_Toc325645460"/>
      <w:r w:rsidRPr="00B95B2D">
        <w:rPr>
          <w:rFonts w:ascii="Times New Roman" w:hAnsi="Times New Roman" w:cs="Times New Roman"/>
          <w:b/>
          <w:sz w:val="24"/>
          <w:lang w:val="pt-BR"/>
        </w:rPr>
        <w:t>PONTIFÍCIA UNIVERSIDADE CATÓLICA DE MINAS GERAIS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lang w:val="pt-BR"/>
        </w:rPr>
        <w:t>ICEG – Instituto de Ciências Gerenciais e Econômicas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lang w:val="pt-BR"/>
        </w:rPr>
        <w:t>Graduação Ciências Contábeis – Noite – 4º período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lang w:val="pt-BR"/>
        </w:rPr>
        <w:t>Contabilidade Avançada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lang w:val="pt-BR"/>
        </w:rPr>
        <w:t xml:space="preserve">Contabilidade de Entidades de Previdência Privada e Seguradoras 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lang w:val="pt-BR"/>
        </w:rPr>
        <w:t>Contabilidade Fiscal e Tributária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lang w:val="pt-BR"/>
        </w:rPr>
        <w:t>Microeconomia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lang w:val="pt-BR"/>
        </w:rPr>
        <w:t xml:space="preserve">Planejamento e </w:t>
      </w:r>
      <w:r w:rsidR="00524A68" w:rsidRPr="00B95B2D">
        <w:rPr>
          <w:rFonts w:ascii="Times New Roman" w:hAnsi="Times New Roman" w:cs="Times New Roman"/>
          <w:b/>
          <w:sz w:val="24"/>
          <w:lang w:val="pt-BR"/>
        </w:rPr>
        <w:t>Gestão</w:t>
      </w:r>
      <w:r w:rsidRPr="00B95B2D">
        <w:rPr>
          <w:rFonts w:ascii="Times New Roman" w:hAnsi="Times New Roman" w:cs="Times New Roman"/>
          <w:b/>
          <w:sz w:val="24"/>
          <w:lang w:val="pt-BR"/>
        </w:rPr>
        <w:t xml:space="preserve"> Governamental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lang w:val="pt-BR"/>
        </w:rPr>
        <w:t>Psicologia Aplicada Às Organizações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lang w:val="pt-BR"/>
        </w:rPr>
        <w:t>Larissa Aparecida Guimarães Januário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lang w:val="pt-BR"/>
        </w:rPr>
        <w:t>Luana Fagundes Silva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lang w:val="pt-BR"/>
        </w:rPr>
        <w:t>Mariana Lima Rodrigues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lang w:val="pt-BR"/>
        </w:rPr>
        <w:t>Paulo Henrique Silva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lang w:val="pt-BR"/>
        </w:rPr>
        <w:t>Priscila Tâmara Costa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lang w:val="pt-BR"/>
        </w:rPr>
        <w:t>Tamara Lima Cleto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lang w:val="pt-BR"/>
        </w:rPr>
        <w:t>Thamiles Santos Oliveira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szCs w:val="24"/>
          <w:lang w:val="pt-BR"/>
        </w:rPr>
        <w:t>CONTRIBUIÇÕES DAS DIVERSAS ÁREAS DO CONHECIMENTO PARA A FORMAÇÃO E ATUAÇÃO DO PROFISSIONAL DE CIÊNCIAS CONTÁBEIS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lang w:val="pt-BR"/>
        </w:rPr>
        <w:t>Belo Horizonte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lang w:val="pt-BR"/>
        </w:rPr>
        <w:t>01 de novembro de 2012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lang w:val="pt-BR"/>
        </w:rPr>
        <w:lastRenderedPageBreak/>
        <w:t>Larissa Aparecida Guimarães Januário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lang w:val="pt-BR"/>
        </w:rPr>
        <w:t>Luana Fagundes Silva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lang w:val="pt-BR"/>
        </w:rPr>
        <w:t>Mariana Lima Rodrigues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lang w:val="pt-BR"/>
        </w:rPr>
        <w:t>Paulo Henrique Silva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lang w:val="pt-BR"/>
        </w:rPr>
        <w:t>Priscila Tâmara Costa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lang w:val="pt-BR"/>
        </w:rPr>
        <w:t>Tamara Lima Cleto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lang w:val="pt-BR"/>
        </w:rPr>
        <w:t>Thamiles Santos Oliveira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szCs w:val="24"/>
          <w:lang w:val="pt-BR"/>
        </w:rPr>
        <w:t>CONTRIBUIÇÕES DAS DIVERSAS ÁREAS DO CONHECIMENTO PARA A FORMAÇÃO E ATUAÇÃO DO PROFISSIONAL DE CIÊNCIAS CONTÁBEIS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95B2D" w:rsidRPr="00B95B2D" w:rsidRDefault="00B95B2D" w:rsidP="00B95B2D">
      <w:pPr>
        <w:pStyle w:val="SemEspaamento"/>
        <w:ind w:left="3600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szCs w:val="24"/>
          <w:lang w:val="pt-BR"/>
        </w:rPr>
        <w:t>Trabalho Interdisciplinar envolvendo as matérias: Contabilidade Avançada, Contabilidade de Entidades de Previdência Privada e Seguradoras, Contabilidade Fiscal e Tributária, Microeconomia, Planejamento e Gestão Governamental e Psicologia Aplicada às Organizações, do 4º período do curso de Ciências Contábeis.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95B2D" w:rsidRPr="00B95B2D" w:rsidRDefault="00B95B2D" w:rsidP="00B95B2D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95B2D" w:rsidRPr="00B95B2D" w:rsidRDefault="00B95B2D" w:rsidP="00B95B2D">
      <w:pPr>
        <w:pStyle w:val="SemEspaamento"/>
        <w:ind w:left="3600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szCs w:val="24"/>
          <w:lang w:val="pt-BR"/>
        </w:rPr>
        <w:t>Professores: Marco Antônio Pereira</w:t>
      </w:r>
    </w:p>
    <w:p w:rsidR="00B95B2D" w:rsidRPr="00B95B2D" w:rsidRDefault="00B95B2D" w:rsidP="00B95B2D">
      <w:pPr>
        <w:pStyle w:val="SemEspaamento"/>
        <w:ind w:left="4950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szCs w:val="24"/>
          <w:lang w:val="pt-BR"/>
        </w:rPr>
        <w:t>Geraldo de Assis Souza Júnior</w:t>
      </w:r>
    </w:p>
    <w:p w:rsidR="00B95B2D" w:rsidRPr="00B95B2D" w:rsidRDefault="00B95B2D" w:rsidP="00B95B2D">
      <w:pPr>
        <w:pStyle w:val="SemEspaamento"/>
        <w:ind w:left="4950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szCs w:val="24"/>
          <w:lang w:val="pt-BR"/>
        </w:rPr>
        <w:t>Rubens de Oliveira Gomes</w:t>
      </w:r>
    </w:p>
    <w:p w:rsidR="00B95B2D" w:rsidRPr="00B95B2D" w:rsidRDefault="00B95B2D" w:rsidP="00B95B2D">
      <w:pPr>
        <w:pStyle w:val="SemEspaamento"/>
        <w:ind w:left="4950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szCs w:val="24"/>
          <w:lang w:val="pt-BR"/>
        </w:rPr>
        <w:t>Pedro Paulo Moreira Petterson</w:t>
      </w:r>
    </w:p>
    <w:p w:rsidR="00B95B2D" w:rsidRPr="00B95B2D" w:rsidRDefault="00B95B2D" w:rsidP="00B95B2D">
      <w:pPr>
        <w:pStyle w:val="SemEspaamento"/>
        <w:ind w:left="4950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szCs w:val="24"/>
          <w:lang w:val="pt-BR"/>
        </w:rPr>
        <w:t>Amaro da Silva Júnior</w:t>
      </w:r>
    </w:p>
    <w:p w:rsidR="00B95B2D" w:rsidRPr="00B95B2D" w:rsidRDefault="00B95B2D" w:rsidP="00B95B2D">
      <w:pPr>
        <w:pStyle w:val="SemEspaamento"/>
        <w:ind w:left="4950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szCs w:val="24"/>
          <w:lang w:val="pt-BR"/>
        </w:rPr>
        <w:t>Joana D’Arc Alves</w:t>
      </w:r>
    </w:p>
    <w:p w:rsidR="00B95B2D" w:rsidRPr="00B95B2D" w:rsidRDefault="00B95B2D" w:rsidP="00B95B2D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szCs w:val="24"/>
          <w:lang w:val="pt-BR"/>
        </w:rPr>
        <w:t>Belo Horizonte</w:t>
      </w:r>
    </w:p>
    <w:p w:rsidR="00B95B2D" w:rsidRPr="00B95B2D" w:rsidRDefault="00B95B2D" w:rsidP="00B95B2D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B95B2D">
        <w:rPr>
          <w:rFonts w:ascii="Times New Roman" w:hAnsi="Times New Roman" w:cs="Times New Roman"/>
          <w:b/>
          <w:sz w:val="24"/>
          <w:szCs w:val="24"/>
          <w:lang w:val="pt-BR"/>
        </w:rPr>
        <w:t>01 de novembro de 2012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856269590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noProof/>
          <w:sz w:val="22"/>
          <w:szCs w:val="22"/>
        </w:rPr>
      </w:sdtEndPr>
      <w:sdtContent>
        <w:p w:rsidR="004F0061" w:rsidRPr="00BB28A1" w:rsidRDefault="004F0061" w:rsidP="004F0061">
          <w:pPr>
            <w:pStyle w:val="CabealhodoSumri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BB28A1">
            <w:rPr>
              <w:rFonts w:ascii="Times New Roman" w:hAnsi="Times New Roman" w:cs="Times New Roman"/>
              <w:color w:val="auto"/>
              <w:sz w:val="24"/>
              <w:szCs w:val="24"/>
            </w:rPr>
            <w:t>SUMÁRIO</w:t>
          </w:r>
        </w:p>
        <w:p w:rsidR="00CA60BF" w:rsidRPr="00CA60BF" w:rsidRDefault="00DF3EC3">
          <w:pPr>
            <w:pStyle w:val="Sumrio1"/>
            <w:tabs>
              <w:tab w:val="left" w:pos="44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r w:rsidRPr="00DF3EC3">
            <w:rPr>
              <w:rFonts w:ascii="Times New Roman" w:hAnsi="Times New Roman" w:cs="Times New Roman"/>
              <w:b/>
              <w:sz w:val="24"/>
              <w:szCs w:val="24"/>
            </w:rPr>
            <w:fldChar w:fldCharType="begin"/>
          </w:r>
          <w:r w:rsidR="004F0061" w:rsidRPr="00BB28A1">
            <w:rPr>
              <w:rFonts w:ascii="Times New Roman" w:hAnsi="Times New Roman" w:cs="Times New Roman"/>
              <w:b/>
              <w:sz w:val="24"/>
              <w:szCs w:val="24"/>
            </w:rPr>
            <w:instrText xml:space="preserve"> TOC \o "1-3" \h \z \u </w:instrText>
          </w:r>
          <w:r w:rsidRPr="00DF3EC3">
            <w:rPr>
              <w:rFonts w:ascii="Times New Roman" w:hAnsi="Times New Roman" w:cs="Times New Roman"/>
              <w:b/>
              <w:sz w:val="24"/>
              <w:szCs w:val="24"/>
            </w:rPr>
            <w:fldChar w:fldCharType="separate"/>
          </w:r>
          <w:hyperlink w:anchor="_Toc339406843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</w:rPr>
              <w:t>1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</w:rPr>
              <w:t>INTRODUÇÃO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_Toc339406843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4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44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44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2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DEMONSTRAÇÃO DO FLUXO DE CAIXA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_Toc339406844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5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66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45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2.1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Estruturação da Demonstração dos fluxos de caixa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_Toc339406845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6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66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46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2.2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Camargo e Corrêa Desenvolvimento Imobiliário SA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_Toc339406846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7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44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47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</w:rPr>
              <w:t>3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</w:rPr>
              <w:t>DEMONSTRAÇÃO DO VALOR ADICIONADO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_Toc339406847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8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44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48" w:history="1">
            <w:r w:rsidR="00CA60BF" w:rsidRPr="00CA60BF">
              <w:rPr>
                <w:rStyle w:val="Hyperlink"/>
                <w:rFonts w:ascii="Times New Roman" w:eastAsia="Times New Roman" w:hAnsi="Times New Roman" w:cs="Times New Roman"/>
                <w:b/>
                <w:noProof/>
                <w:sz w:val="24"/>
                <w:lang w:val="pt-BR" w:eastAsia="pt-BR"/>
              </w:rPr>
              <w:t>4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eastAsia="Times New Roman" w:hAnsi="Times New Roman" w:cs="Times New Roman"/>
                <w:b/>
                <w:noProof/>
                <w:sz w:val="24"/>
                <w:lang w:val="pt-BR" w:eastAsia="pt-BR"/>
              </w:rPr>
              <w:t>PORQUE PATROCINAR UM PLANO DE BENEFÍCIOS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_Toc339406848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9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44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49" w:history="1">
            <w:r w:rsidR="00CA60BF" w:rsidRPr="00CA60BF">
              <w:rPr>
                <w:rStyle w:val="Hyperlink"/>
                <w:rFonts w:ascii="Times New Roman" w:eastAsia="Times New Roman" w:hAnsi="Times New Roman" w:cs="Times New Roman"/>
                <w:b/>
                <w:noProof/>
                <w:sz w:val="24"/>
                <w:lang w:val="pt-BR" w:eastAsia="pt-BR"/>
              </w:rPr>
              <w:t>5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eastAsia="Times New Roman" w:hAnsi="Times New Roman" w:cs="Times New Roman"/>
                <w:b/>
                <w:noProof/>
                <w:sz w:val="24"/>
                <w:lang w:val="pt-BR" w:eastAsia="pt-BR"/>
              </w:rPr>
              <w:t>PREVIG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_Toc339406849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10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44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50" w:history="1">
            <w:r w:rsidR="00CA60BF" w:rsidRPr="00CA60BF">
              <w:rPr>
                <w:rStyle w:val="Hyperlink"/>
                <w:rFonts w:ascii="Times New Roman" w:eastAsia="Times New Roman" w:hAnsi="Times New Roman" w:cs="Times New Roman"/>
                <w:b/>
                <w:noProof/>
                <w:sz w:val="24"/>
                <w:lang w:val="pt-BR" w:eastAsia="pt-BR"/>
              </w:rPr>
              <w:t>6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eastAsia="Times New Roman" w:hAnsi="Times New Roman" w:cs="Times New Roman"/>
                <w:b/>
                <w:noProof/>
                <w:sz w:val="24"/>
                <w:lang w:val="pt-BR" w:eastAsia="pt-BR"/>
              </w:rPr>
              <w:t>MODALIDADES DE PLANO (BD, CD)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_Toc339406850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10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44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51" w:history="1">
            <w:r w:rsidR="00CA60BF" w:rsidRPr="00CA60BF">
              <w:rPr>
                <w:rStyle w:val="Hyperlink"/>
                <w:rFonts w:ascii="Times New Roman" w:eastAsia="Times New Roman" w:hAnsi="Times New Roman" w:cs="Times New Roman"/>
                <w:b/>
                <w:noProof/>
                <w:sz w:val="24"/>
                <w:lang w:val="pt-BR" w:eastAsia="pt-BR"/>
              </w:rPr>
              <w:t>7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eastAsia="Times New Roman" w:hAnsi="Times New Roman" w:cs="Times New Roman"/>
                <w:b/>
                <w:noProof/>
                <w:sz w:val="24"/>
                <w:lang w:val="pt-BR" w:eastAsia="pt-BR"/>
              </w:rPr>
              <w:t>ANÁLISE DAS DEMONSTRAÇÕES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_Toc339406851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11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66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52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7.2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Demonstração Do Ativo Líquido Por Plano De Benefícios- DAL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_Toc339406852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12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88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53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i/>
                <w:noProof/>
                <w:sz w:val="24"/>
                <w:lang w:val="pt-BR"/>
              </w:rPr>
              <w:t>7.2.1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hAnsi="Times New Roman" w:cs="Times New Roman"/>
                <w:b/>
                <w:i/>
                <w:noProof/>
                <w:sz w:val="24"/>
                <w:lang w:val="pt-BR"/>
              </w:rPr>
              <w:t>Plano BD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_Toc339406853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12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88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54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i/>
                <w:noProof/>
                <w:sz w:val="24"/>
                <w:lang w:val="pt-BR"/>
              </w:rPr>
              <w:t>7.2.2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hAnsi="Times New Roman" w:cs="Times New Roman"/>
                <w:b/>
                <w:i/>
                <w:noProof/>
                <w:sz w:val="24"/>
                <w:lang w:val="pt-BR"/>
              </w:rPr>
              <w:t>Plano CD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_Toc339406854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12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44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55" w:history="1">
            <w:r w:rsidR="00CA60BF" w:rsidRPr="00CA60BF">
              <w:rPr>
                <w:rStyle w:val="Hyperlink"/>
                <w:rFonts w:ascii="Times New Roman" w:eastAsia="Times New Roman" w:hAnsi="Times New Roman" w:cs="Times New Roman"/>
                <w:b/>
                <w:noProof/>
                <w:sz w:val="24"/>
                <w:lang w:val="pt-BR" w:eastAsia="pt-BR"/>
              </w:rPr>
              <w:t>8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eastAsia="Times New Roman" w:hAnsi="Times New Roman" w:cs="Times New Roman"/>
                <w:b/>
                <w:noProof/>
                <w:sz w:val="24"/>
                <w:lang w:val="pt-BR" w:eastAsia="pt-BR"/>
              </w:rPr>
              <w:t>DEMONSTRAÇÕES DA MUTAÇÃO DO ATIVO LÍQUIDO POR PLANO DE BENEFÍCIOS – DMAL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_Toc339406855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12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66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56" w:history="1">
            <w:r w:rsidR="00CA60BF" w:rsidRPr="00CA60BF">
              <w:rPr>
                <w:rStyle w:val="Hyperlink"/>
                <w:rFonts w:ascii="Times New Roman" w:eastAsia="Times New Roman" w:hAnsi="Times New Roman" w:cs="Times New Roman"/>
                <w:b/>
                <w:noProof/>
                <w:sz w:val="24"/>
                <w:lang w:val="pt-BR" w:eastAsia="pt-BR"/>
              </w:rPr>
              <w:t>8.1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eastAsia="Times New Roman" w:hAnsi="Times New Roman" w:cs="Times New Roman"/>
                <w:b/>
                <w:noProof/>
                <w:sz w:val="24"/>
                <w:lang w:val="pt-BR" w:eastAsia="pt-BR"/>
              </w:rPr>
              <w:t>Recurso Financeiro X Obrigações Atuariais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_Toc339406856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13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44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57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</w:rPr>
              <w:t>9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</w:rPr>
              <w:t>CONTABILIDADE FISCAL E TRIBUTÁRIA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_Toc339406857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13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66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58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</w:rPr>
              <w:t>10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</w:rPr>
              <w:t>INFLUÊNCIA NO CRESCIMENTO DO PIB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_Toc339406858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15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66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59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</w:rPr>
              <w:t>11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</w:rPr>
              <w:t>GESTÃO PÚBLICA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_Toc339406859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17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66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60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11.1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Tributos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_Toc339406860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17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66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61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11.2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Lei de Responsabilidade Fiscal (LRF)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_Toc339406861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18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66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62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11.3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Receitas Tributárias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_Toc339406862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18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66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63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11.4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Renúncia de Receita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_Toc339406863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18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66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64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11.5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Incentivo Fiscal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_Toc339406864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18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66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65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11.6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A Empresa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_Toc339406865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18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66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66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11.7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Lei 11.196/05 (Lei Do Bem)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_Toc339406866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19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88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67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11.7.1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Lei Do Bem – Beneficiários E Principais Obrigações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_Toc339406867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19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66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68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11.8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Apuração Fiscal Da Empresa Sem O Beneficio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_Toc339406868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19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66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69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11.9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Apuração Fiscal Da Empresa Com O Beneficio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_Toc339406869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20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66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70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12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COMPORTAMENTO ORGANIZACIONAL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_Toc339406870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20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left" w:pos="660"/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71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13</w:t>
            </w:r>
            <w:r w:rsidR="00CA60BF" w:rsidRPr="00CA60BF"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tab/>
            </w:r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CONCLUSÃO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_Toc339406871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22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72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BIBLIOGRAFIA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_Toc339406872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23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73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pt-BR"/>
              </w:rPr>
              <w:t>ANEXO 1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_Toc339406873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25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74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</w:rPr>
              <w:t>ANEXO 2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_Toc339406874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27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75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</w:rPr>
              <w:t>ANEXO 3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_Toc339406875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33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A60BF" w:rsidRPr="00CA60BF" w:rsidRDefault="00DF3EC3">
          <w:pPr>
            <w:pStyle w:val="Sumrio1"/>
            <w:tabs>
              <w:tab w:val="right" w:leader="dot" w:pos="9393"/>
            </w:tabs>
            <w:rPr>
              <w:rFonts w:ascii="Times New Roman" w:eastAsiaTheme="minorEastAsia" w:hAnsi="Times New Roman" w:cs="Times New Roman"/>
              <w:b/>
              <w:noProof/>
              <w:sz w:val="24"/>
            </w:rPr>
          </w:pPr>
          <w:hyperlink w:anchor="_Toc339406876" w:history="1">
            <w:r w:rsidR="00CA60BF" w:rsidRPr="00CA60BF">
              <w:rPr>
                <w:rStyle w:val="Hyperlink"/>
                <w:rFonts w:ascii="Times New Roman" w:hAnsi="Times New Roman" w:cs="Times New Roman"/>
                <w:b/>
                <w:noProof/>
                <w:sz w:val="24"/>
              </w:rPr>
              <w:t>ANEXO 4</w:t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_Toc339406876 \h </w:instrTex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CA60BF"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37</w:t>
            </w:r>
            <w:r w:rsidRPr="00CA60BF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4F0061" w:rsidRDefault="00DF3EC3" w:rsidP="00241AFC">
          <w:pPr>
            <w:pStyle w:val="Sumrio1"/>
            <w:tabs>
              <w:tab w:val="right" w:leader="dot" w:pos="9393"/>
            </w:tabs>
          </w:pPr>
          <w:r w:rsidRPr="00BB28A1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701A15" w:rsidRDefault="00701A15" w:rsidP="00701A15">
      <w:pPr>
        <w:pStyle w:val="HeadlineABNT"/>
      </w:pPr>
    </w:p>
    <w:p w:rsidR="00701A15" w:rsidRDefault="00701A15" w:rsidP="00701A15">
      <w:pPr>
        <w:pStyle w:val="HeadlineABNT"/>
      </w:pPr>
    </w:p>
    <w:p w:rsidR="00701A15" w:rsidRDefault="00701A15" w:rsidP="00701A15">
      <w:pPr>
        <w:pStyle w:val="HeadlineABNT"/>
      </w:pPr>
    </w:p>
    <w:p w:rsidR="00701A15" w:rsidRDefault="00701A15" w:rsidP="00701A15">
      <w:pPr>
        <w:pStyle w:val="HeadlineABNT"/>
      </w:pPr>
    </w:p>
    <w:p w:rsidR="00701A15" w:rsidRDefault="00701A15" w:rsidP="00701A15">
      <w:pPr>
        <w:pStyle w:val="HeadlineABNT"/>
      </w:pPr>
    </w:p>
    <w:p w:rsidR="00701A15" w:rsidRDefault="00701A15" w:rsidP="00701A15">
      <w:pPr>
        <w:pStyle w:val="HeadlineABNT"/>
      </w:pPr>
    </w:p>
    <w:p w:rsidR="00701A15" w:rsidRDefault="00701A15" w:rsidP="00701A15">
      <w:pPr>
        <w:pStyle w:val="HeadlineABNT"/>
      </w:pPr>
    </w:p>
    <w:p w:rsidR="00701A15" w:rsidRDefault="00701A15" w:rsidP="00701A15">
      <w:pPr>
        <w:pStyle w:val="HeadlineABNT"/>
      </w:pPr>
    </w:p>
    <w:p w:rsidR="00701A15" w:rsidRDefault="00701A15" w:rsidP="00701A15">
      <w:pPr>
        <w:pStyle w:val="HeadlineABNT"/>
      </w:pPr>
    </w:p>
    <w:p w:rsidR="00701A15" w:rsidRDefault="00701A15" w:rsidP="00701A15">
      <w:pPr>
        <w:pStyle w:val="HeadlineABNT"/>
      </w:pPr>
    </w:p>
    <w:p w:rsidR="00701A15" w:rsidRDefault="00701A15" w:rsidP="00701A15">
      <w:pPr>
        <w:pStyle w:val="HeadlineABNT"/>
      </w:pPr>
    </w:p>
    <w:p w:rsidR="00701A15" w:rsidRDefault="00701A15" w:rsidP="00701A15">
      <w:pPr>
        <w:pStyle w:val="HeadlineABNT"/>
      </w:pPr>
    </w:p>
    <w:p w:rsidR="00701A15" w:rsidRDefault="00701A15" w:rsidP="00701A15">
      <w:pPr>
        <w:pStyle w:val="HeadlineABNT"/>
      </w:pPr>
    </w:p>
    <w:p w:rsidR="00701A15" w:rsidRDefault="00701A15" w:rsidP="00701A15">
      <w:pPr>
        <w:pStyle w:val="HeadlineABNT"/>
      </w:pPr>
    </w:p>
    <w:p w:rsidR="00701A15" w:rsidRDefault="00701A15" w:rsidP="00701A15">
      <w:pPr>
        <w:pStyle w:val="HeadlineABNT"/>
      </w:pPr>
    </w:p>
    <w:p w:rsidR="00701A15" w:rsidRDefault="00701A15" w:rsidP="00701A15">
      <w:pPr>
        <w:pStyle w:val="HeadlineABNT"/>
      </w:pPr>
    </w:p>
    <w:p w:rsidR="00701A15" w:rsidRDefault="00701A15" w:rsidP="00701A15">
      <w:pPr>
        <w:pStyle w:val="HeadlineABNT"/>
      </w:pPr>
    </w:p>
    <w:p w:rsidR="00701A15" w:rsidRDefault="00701A15" w:rsidP="00701A15">
      <w:pPr>
        <w:pStyle w:val="HeadlineABNT"/>
      </w:pPr>
    </w:p>
    <w:p w:rsidR="00701A15" w:rsidRDefault="00701A15" w:rsidP="00701A15">
      <w:pPr>
        <w:pStyle w:val="HeadlineABNT"/>
      </w:pPr>
    </w:p>
    <w:p w:rsidR="00701A15" w:rsidRDefault="00701A15" w:rsidP="00701A15">
      <w:pPr>
        <w:pStyle w:val="HeadlineABNT"/>
      </w:pPr>
    </w:p>
    <w:p w:rsidR="00701A15" w:rsidRDefault="00701A15" w:rsidP="00701A15">
      <w:pPr>
        <w:pStyle w:val="HeadlineABNT"/>
      </w:pPr>
    </w:p>
    <w:p w:rsidR="00701A15" w:rsidRDefault="00701A15" w:rsidP="00701A15">
      <w:pPr>
        <w:pStyle w:val="HeadlineABNT"/>
      </w:pPr>
    </w:p>
    <w:p w:rsidR="00701A15" w:rsidRDefault="00701A15" w:rsidP="00701A15">
      <w:pPr>
        <w:pStyle w:val="HeadlineABNT"/>
      </w:pPr>
    </w:p>
    <w:p w:rsidR="00701A15" w:rsidRDefault="00701A15" w:rsidP="00701A15">
      <w:pPr>
        <w:pStyle w:val="HeadlineABNT"/>
      </w:pPr>
    </w:p>
    <w:p w:rsidR="00701A15" w:rsidRDefault="00701A15" w:rsidP="00701A15">
      <w:pPr>
        <w:pStyle w:val="HeadlineABNT"/>
      </w:pPr>
    </w:p>
    <w:p w:rsidR="00B95B2D" w:rsidRDefault="00B95B2D" w:rsidP="00B95B2D">
      <w:pPr>
        <w:pStyle w:val="SemEspaamento"/>
        <w:spacing w:line="276" w:lineRule="auto"/>
        <w:ind w:firstLine="850"/>
        <w:jc w:val="both"/>
        <w:rPr>
          <w:rFonts w:ascii="Times New Roman" w:hAnsi="Times New Roman" w:cs="Times New Roman"/>
          <w:sz w:val="24"/>
          <w:szCs w:val="24"/>
        </w:rPr>
      </w:pPr>
    </w:p>
    <w:p w:rsidR="00701A15" w:rsidRPr="00701A15" w:rsidRDefault="00701A15" w:rsidP="00701A15">
      <w:pPr>
        <w:pStyle w:val="HeadlineABNT"/>
        <w:numPr>
          <w:ilvl w:val="0"/>
          <w:numId w:val="18"/>
        </w:numPr>
        <w:ind w:left="360"/>
      </w:pPr>
      <w:bookmarkStart w:id="1" w:name="_Toc339406843"/>
      <w:r>
        <w:lastRenderedPageBreak/>
        <w:t>INTRODUÇÃO</w:t>
      </w:r>
      <w:bookmarkEnd w:id="1"/>
    </w:p>
    <w:p w:rsidR="00701A15" w:rsidRDefault="00701A15" w:rsidP="000D5A87">
      <w:pPr>
        <w:pStyle w:val="ABNT"/>
        <w:spacing w:line="276" w:lineRule="auto"/>
      </w:pPr>
    </w:p>
    <w:p w:rsidR="00B95B2D" w:rsidRPr="00553985" w:rsidRDefault="00B95B2D" w:rsidP="00FE7915">
      <w:pPr>
        <w:pStyle w:val="ABNT"/>
        <w:ind w:firstLine="709"/>
      </w:pPr>
      <w:r w:rsidRPr="00553985">
        <w:t>A função do aluno durante os anos de faculdade é assimilar as matérias estudadas com as tarefas desenvolvidas no cotidiano. Um instrumento utilizado pelo mesmo é o Trabalho Interdisciplinar, o qual induz o estudante a</w:t>
      </w:r>
      <w:r>
        <w:t xml:space="preserve"> pesquisar, de maneira</w:t>
      </w:r>
      <w:r w:rsidRPr="00553985">
        <w:t xml:space="preserve"> profunda</w:t>
      </w:r>
      <w:r>
        <w:t>,</w:t>
      </w:r>
      <w:r w:rsidRPr="00553985">
        <w:t xml:space="preserve"> os assuntos vistos e complementar a prática com a teoria, e vice-versa.</w:t>
      </w:r>
    </w:p>
    <w:p w:rsidR="00B95B2D" w:rsidRDefault="00B95B2D" w:rsidP="00FE7915">
      <w:pPr>
        <w:pStyle w:val="ABNT"/>
        <w:ind w:firstLine="709"/>
      </w:pPr>
      <w:r w:rsidRPr="00553985">
        <w:t>O tema principal do quarto período, “Contribuições das diversas áreas do conhecimento para a formação e atuação do profissional de ciências contábeis</w:t>
      </w:r>
      <w:r>
        <w:t>”, é amplo e por isso possibilita que o aluno, e futuro profissional, escolha alguns pontos das matérias, dentre vários, e os reúna, associando entre si e na execução de suas atividades.</w:t>
      </w:r>
    </w:p>
    <w:p w:rsidR="00B95B2D" w:rsidRDefault="00B95B2D" w:rsidP="00FE7915">
      <w:pPr>
        <w:pStyle w:val="ABNT"/>
        <w:ind w:firstLine="709"/>
      </w:pPr>
      <w:r>
        <w:t>A exemplo disso, tem-se a Contabilidade Fiscal e Tributária e o Planejamento e Gestão Governamental, cuja responsabilidade da primeira foca o cálculo dos impostos e tributos, sejam eles federais, estaduais ou municipais, que serão vistos pelo Governo como uma forma de arrecadação para a realização de seus planos sociais e políticos.</w:t>
      </w:r>
    </w:p>
    <w:p w:rsidR="00B95B2D" w:rsidRDefault="00B95B2D" w:rsidP="00FE7915">
      <w:pPr>
        <w:pStyle w:val="ABNT"/>
        <w:ind w:firstLine="709"/>
      </w:pPr>
      <w:r>
        <w:t>Além dessas, a Contabilidade Avançada com suas diversas demonstrações, como a Demonstração do Valor Adicionado, exibe dados que serão utilizados pelos economistas (ao analisar o PIB e outros indicadores socioeconômicos), pelos próprios contadores, entre outros profissionais.</w:t>
      </w:r>
    </w:p>
    <w:p w:rsidR="00B95B2D" w:rsidRPr="00FF7984" w:rsidRDefault="00B95B2D" w:rsidP="00FE7915">
      <w:pPr>
        <w:pStyle w:val="ABNT"/>
        <w:ind w:firstLine="709"/>
      </w:pPr>
      <w:r>
        <w:t>Então, ao longo do trabalho (acerca dos princípios desejados pelos professores), o nosso grupo apresentou o “olhar” do profissional do curso de Ciências Contábeis perante as análises que as matérias proporcionam para a sua formação, isto é, como as diversas áreas do conhecimento auxiliaram no desenvolvimento do contador.</w:t>
      </w:r>
    </w:p>
    <w:p w:rsidR="00B95B2D" w:rsidRDefault="00B95B2D" w:rsidP="00A304B4">
      <w:pPr>
        <w:rPr>
          <w:lang w:val="pt-BR"/>
        </w:rPr>
      </w:pPr>
    </w:p>
    <w:p w:rsidR="00B95B2D" w:rsidRDefault="00B95B2D" w:rsidP="00A304B4">
      <w:pPr>
        <w:rPr>
          <w:lang w:val="pt-BR"/>
        </w:rPr>
      </w:pPr>
    </w:p>
    <w:p w:rsidR="00B95B2D" w:rsidRDefault="00B95B2D" w:rsidP="00A304B4">
      <w:pPr>
        <w:rPr>
          <w:lang w:val="pt-BR"/>
        </w:rPr>
      </w:pPr>
    </w:p>
    <w:p w:rsidR="00B95B2D" w:rsidRDefault="00B95B2D" w:rsidP="00A304B4">
      <w:pPr>
        <w:rPr>
          <w:lang w:val="pt-BR"/>
        </w:rPr>
      </w:pPr>
    </w:p>
    <w:p w:rsidR="00B95B2D" w:rsidRDefault="00B95B2D" w:rsidP="00A304B4">
      <w:pPr>
        <w:rPr>
          <w:lang w:val="pt-BR"/>
        </w:rPr>
      </w:pPr>
    </w:p>
    <w:p w:rsidR="00B95B2D" w:rsidRDefault="00B95B2D" w:rsidP="00A304B4">
      <w:pPr>
        <w:rPr>
          <w:lang w:val="pt-BR"/>
        </w:rPr>
      </w:pPr>
    </w:p>
    <w:p w:rsidR="00B95B2D" w:rsidRDefault="00B95B2D" w:rsidP="00A304B4">
      <w:pPr>
        <w:rPr>
          <w:lang w:val="pt-BR"/>
        </w:rPr>
      </w:pPr>
    </w:p>
    <w:p w:rsidR="00B95B2D" w:rsidRDefault="00B95B2D" w:rsidP="00A304B4">
      <w:pPr>
        <w:rPr>
          <w:lang w:val="pt-BR"/>
        </w:rPr>
      </w:pPr>
    </w:p>
    <w:p w:rsidR="00B95B2D" w:rsidRDefault="00B95B2D" w:rsidP="00A304B4">
      <w:pPr>
        <w:rPr>
          <w:lang w:val="pt-BR"/>
        </w:rPr>
      </w:pPr>
    </w:p>
    <w:p w:rsidR="00A304B4" w:rsidRPr="00A304B4" w:rsidRDefault="00A304B4" w:rsidP="00A304B4">
      <w:pPr>
        <w:pStyle w:val="HeadlineABNT"/>
        <w:numPr>
          <w:ilvl w:val="0"/>
          <w:numId w:val="3"/>
        </w:numPr>
        <w:ind w:left="360"/>
        <w:rPr>
          <w:lang w:val="pt-BR"/>
        </w:rPr>
      </w:pPr>
      <w:bookmarkStart w:id="2" w:name="_Toc338973036"/>
      <w:bookmarkStart w:id="3" w:name="_Toc338973063"/>
      <w:bookmarkStart w:id="4" w:name="_Toc338973113"/>
      <w:bookmarkStart w:id="5" w:name="_Toc339406844"/>
      <w:r w:rsidRPr="00A304B4">
        <w:rPr>
          <w:lang w:val="pt-BR"/>
        </w:rPr>
        <w:lastRenderedPageBreak/>
        <w:t>DEMONSTRAÇÃO DO FLUXO DE CAIXA</w:t>
      </w:r>
      <w:bookmarkEnd w:id="0"/>
      <w:bookmarkEnd w:id="2"/>
      <w:bookmarkEnd w:id="3"/>
      <w:bookmarkEnd w:id="4"/>
      <w:bookmarkEnd w:id="5"/>
    </w:p>
    <w:p w:rsidR="00A304B4" w:rsidRPr="00BE5EE0" w:rsidRDefault="00A304B4" w:rsidP="00A304B4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</w:p>
    <w:p w:rsidR="00A304B4" w:rsidRDefault="00A304B4" w:rsidP="00FE7915">
      <w:pPr>
        <w:pStyle w:val="ABNT"/>
        <w:ind w:firstLine="709"/>
      </w:pPr>
      <w:r>
        <w:t>A Demonstração do Fluxo de Caixa (DFC) é uma demonstração dinâmica que tem por objetivo exibir a origem</w:t>
      </w:r>
      <w:r w:rsidR="00060BEB">
        <w:t xml:space="preserve"> (entrada)</w:t>
      </w:r>
      <w:r>
        <w:t xml:space="preserve"> e aplicação</w:t>
      </w:r>
      <w:r w:rsidR="00060BEB">
        <w:t xml:space="preserve"> (saída)</w:t>
      </w:r>
      <w:r>
        <w:t xml:space="preserve"> de todo dinheiro presente no caixa em um determinado período ou exercício.</w:t>
      </w:r>
    </w:p>
    <w:p w:rsidR="00A304B4" w:rsidRDefault="00A304B4" w:rsidP="00FE7915">
      <w:pPr>
        <w:pStyle w:val="ABNT"/>
        <w:ind w:firstLine="709"/>
      </w:pPr>
      <w:r>
        <w:t>As empresas de capital aberto são ob</w:t>
      </w:r>
      <w:r w:rsidR="001B12A5">
        <w:t>r</w:t>
      </w:r>
      <w:r>
        <w:t xml:space="preserve">igadas a divulgar essa demonstração, </w:t>
      </w:r>
      <w:r w:rsidR="001B12A5">
        <w:t>ao contrário d</w:t>
      </w:r>
      <w:r>
        <w:t>as companhias fechadas</w:t>
      </w:r>
      <w:r w:rsidR="001B12A5">
        <w:t>,</w:t>
      </w:r>
      <w:r w:rsidR="00517EE4">
        <w:t xml:space="preserve"> </w:t>
      </w:r>
      <w:r w:rsidR="001B12A5">
        <w:t>cujo</w:t>
      </w:r>
      <w:r w:rsidR="00517EE4">
        <w:t xml:space="preserve"> </w:t>
      </w:r>
      <w:r w:rsidR="00524A68">
        <w:t>Patrimônio</w:t>
      </w:r>
      <w:r>
        <w:t xml:space="preserve"> Líquido</w:t>
      </w:r>
      <w:r w:rsidR="001B12A5">
        <w:t xml:space="preserve"> seja</w:t>
      </w:r>
      <w:r>
        <w:t xml:space="preserve"> inferior a R$2.000.000,00 (dois milhões de reais),</w:t>
      </w:r>
      <w:r w:rsidR="001B12A5">
        <w:t xml:space="preserve"> não se </w:t>
      </w:r>
      <w:r>
        <w:t>submete</w:t>
      </w:r>
      <w:r w:rsidR="001B12A5">
        <w:t xml:space="preserve">ndo à </w:t>
      </w:r>
      <w:r>
        <w:t>elaboração e publicação da DFC (art.1º da Le</w:t>
      </w:r>
      <w:r w:rsidRPr="00C67848">
        <w:t>i</w:t>
      </w:r>
      <w:r>
        <w:t xml:space="preserve">nº. </w:t>
      </w:r>
      <w:r w:rsidRPr="00C67848">
        <w:t>11.638/07</w:t>
      </w:r>
      <w:r>
        <w:t xml:space="preserve">). A norma responsável por esta afirmação </w:t>
      </w:r>
      <w:r w:rsidRPr="00286B97">
        <w:t>é o Pronuncia</w:t>
      </w:r>
      <w:r w:rsidRPr="00286B97">
        <w:softHyphen/>
        <w:t>mento Técnico CPC 03, que indica a utilização desde demonstrativo:</w:t>
      </w:r>
    </w:p>
    <w:p w:rsidR="00A304B4" w:rsidRPr="00BE5EE0" w:rsidRDefault="00A304B4" w:rsidP="008B5C55">
      <w:pPr>
        <w:pStyle w:val="ABNT"/>
        <w:ind w:left="2250" w:firstLine="11"/>
      </w:pPr>
    </w:p>
    <w:p w:rsidR="00A304B4" w:rsidRPr="00595EE4" w:rsidRDefault="00A304B4" w:rsidP="00A304B4">
      <w:pPr>
        <w:pStyle w:val="ABNT"/>
        <w:spacing w:line="240" w:lineRule="auto"/>
        <w:ind w:left="2250" w:firstLine="11"/>
        <w:rPr>
          <w:sz w:val="20"/>
        </w:rPr>
      </w:pPr>
      <w:r w:rsidRPr="00595EE4">
        <w:rPr>
          <w:sz w:val="20"/>
        </w:rPr>
        <w:t>As informações dos fluxos de caixa de uma entidade são úteis para proporcionar aos usuários das demonstrações contábeis uma base para avaliar a capacidade de a entidade gerar caixa e equivalentes de caixa, bem como suas necessidades de liquidez. (CPC 03)</w:t>
      </w:r>
    </w:p>
    <w:p w:rsidR="00A304B4" w:rsidRPr="00BE5EE0" w:rsidRDefault="00A304B4" w:rsidP="008B5C55">
      <w:pPr>
        <w:pStyle w:val="ABNT"/>
      </w:pPr>
    </w:p>
    <w:p w:rsidR="00A304B4" w:rsidRPr="00D22B21" w:rsidRDefault="00A304B4" w:rsidP="00FE7915">
      <w:pPr>
        <w:pStyle w:val="ABNT"/>
        <w:ind w:firstLine="709"/>
      </w:pPr>
      <w:r>
        <w:t xml:space="preserve">IUDÍCIBUS (2003) </w:t>
      </w:r>
      <w:r w:rsidR="000C4752">
        <w:t>retrata</w:t>
      </w:r>
      <w:r>
        <w:t xml:space="preserve"> que a DFC permite</w:t>
      </w:r>
      <w:r w:rsidRPr="003927AF">
        <w:t xml:space="preserve"> aos investidores, credores e outros usuário</w:t>
      </w:r>
      <w:r>
        <w:t xml:space="preserve">s das demonstrações financeiras a </w:t>
      </w:r>
      <w:r w:rsidR="00524A68">
        <w:t xml:space="preserve">avaliação </w:t>
      </w:r>
      <w:r w:rsidR="00524A68" w:rsidRPr="003927AF">
        <w:t>da</w:t>
      </w:r>
      <w:r w:rsidRPr="003927AF">
        <w:t xml:space="preserve"> capacidade da companhia para gerar fluxos de </w:t>
      </w:r>
      <w:r>
        <w:t xml:space="preserve">caixa positivos a fim de </w:t>
      </w:r>
      <w:r w:rsidRPr="003927AF">
        <w:t>atender suas obrigações financeiras, pagar dividendos e verificar sua necessidade de financiamento externo.</w:t>
      </w:r>
    </w:p>
    <w:p w:rsidR="00A304B4" w:rsidRPr="00BE5EE0" w:rsidRDefault="00A304B4" w:rsidP="00F9605C">
      <w:pPr>
        <w:pStyle w:val="ABNT"/>
        <w:spacing w:line="276" w:lineRule="auto"/>
      </w:pPr>
    </w:p>
    <w:p w:rsidR="00A304B4" w:rsidRPr="00F9605C" w:rsidRDefault="00A304B4" w:rsidP="00F9605C">
      <w:pPr>
        <w:pStyle w:val="HeadlineABNT"/>
        <w:numPr>
          <w:ilvl w:val="1"/>
          <w:numId w:val="3"/>
        </w:numPr>
        <w:tabs>
          <w:tab w:val="left" w:pos="450"/>
          <w:tab w:val="left" w:pos="990"/>
        </w:tabs>
        <w:ind w:left="450"/>
        <w:rPr>
          <w:lang w:val="pt-BR"/>
        </w:rPr>
      </w:pPr>
      <w:bookmarkStart w:id="6" w:name="_Toc339406845"/>
      <w:r w:rsidRPr="00F9605C">
        <w:rPr>
          <w:lang w:val="pt-BR"/>
        </w:rPr>
        <w:t>Estruturação da Demonstração dos fluxos de caixa</w:t>
      </w:r>
      <w:bookmarkEnd w:id="6"/>
    </w:p>
    <w:p w:rsidR="00A304B4" w:rsidRPr="00BE5EE0" w:rsidRDefault="00A304B4" w:rsidP="00F9605C">
      <w:pPr>
        <w:pStyle w:val="ABNT"/>
        <w:spacing w:line="276" w:lineRule="auto"/>
      </w:pPr>
    </w:p>
    <w:p w:rsidR="00A304B4" w:rsidRPr="00BE5EE0" w:rsidRDefault="00A304B4" w:rsidP="00FE7915">
      <w:pPr>
        <w:pStyle w:val="ABNT"/>
        <w:ind w:firstLine="709"/>
      </w:pPr>
      <w:r>
        <w:t xml:space="preserve">De acordo com o CPC 03, os fluxos de caixa deverão ser apresentados conforme três classificações </w:t>
      </w:r>
      <w:r w:rsidRPr="00BE5EE0">
        <w:t>“</w:t>
      </w:r>
      <w:r w:rsidRPr="0028436E">
        <w:rPr>
          <w:i/>
        </w:rPr>
        <w:t>a entidade deve apresentar seus fluxos de caixa decorrentes das atividades operacionais, de investimento e de financiamento da forma que seja mais apropriada a seus negócios</w:t>
      </w:r>
      <w:r w:rsidRPr="00BE5EE0">
        <w:t>.”</w:t>
      </w:r>
    </w:p>
    <w:p w:rsidR="00A304B4" w:rsidRPr="00BE5EE0" w:rsidRDefault="00A304B4" w:rsidP="00FE7915">
      <w:pPr>
        <w:pStyle w:val="ABNT"/>
        <w:ind w:firstLine="709"/>
      </w:pPr>
      <w:r w:rsidRPr="00C67848">
        <w:t>Nas atividades operacionais</w:t>
      </w:r>
      <w:r>
        <w:t>,</w:t>
      </w:r>
      <w:r w:rsidRPr="00C67848">
        <w:t xml:space="preserve"> as transações relaciona</w:t>
      </w:r>
      <w:r>
        <w:t xml:space="preserve">m-se com </w:t>
      </w:r>
      <w:r w:rsidRPr="00C67848">
        <w:t>o objeto social da empresa</w:t>
      </w:r>
      <w:r>
        <w:t>; as</w:t>
      </w:r>
      <w:r w:rsidRPr="00C67848">
        <w:t xml:space="preserve"> receitas e despesas que compõem </w:t>
      </w:r>
      <w:r>
        <w:t>a D</w:t>
      </w:r>
      <w:r w:rsidRPr="00C67848">
        <w:t>emonst</w:t>
      </w:r>
      <w:r>
        <w:t>ração do R</w:t>
      </w:r>
      <w:r w:rsidRPr="00C67848">
        <w:t>esultado da companhia são: receita de vendas, custo de produção, despesas com salários e encargos, despesas com impostos, despesas de vendas, entre outros. Segundo o Comitê de Pronunciamentos Contábeis 03 os fluxos de caixa op</w:t>
      </w:r>
      <w:r>
        <w:t xml:space="preserve">eracionais são suficientes para </w:t>
      </w:r>
      <w:r w:rsidRPr="00174E34">
        <w:t>“</w:t>
      </w:r>
      <w:r w:rsidRPr="000E5660">
        <w:rPr>
          <w:i/>
        </w:rPr>
        <w:t>amortizar empréstimos, manter a capacidade operacional da entidade, pagar dividendos e juros sobre o capital próprio e fazer novos investimentos sem recorrer a fontes externas de</w:t>
      </w:r>
      <w:r w:rsidRPr="000E5660">
        <w:rPr>
          <w:i/>
        </w:rPr>
        <w:tab/>
        <w:t>financiamento</w:t>
      </w:r>
      <w:r w:rsidRPr="00174E34">
        <w:t>.”</w:t>
      </w:r>
    </w:p>
    <w:p w:rsidR="00A304B4" w:rsidRPr="00285AF8" w:rsidRDefault="00A304B4" w:rsidP="00FE7915">
      <w:pPr>
        <w:pStyle w:val="ABNT"/>
        <w:ind w:firstLine="709"/>
      </w:pPr>
      <w:r w:rsidRPr="00BE5EE0">
        <w:lastRenderedPageBreak/>
        <w:tab/>
      </w:r>
      <w:r w:rsidRPr="00285AF8">
        <w:t xml:space="preserve">Nas Atividades de </w:t>
      </w:r>
      <w:r>
        <w:t>Fi</w:t>
      </w:r>
      <w:r w:rsidRPr="00285AF8">
        <w:t>nanciamento</w:t>
      </w:r>
      <w:r>
        <w:t xml:space="preserve">, a amortização e remuneração da captação de empréstimos e </w:t>
      </w:r>
      <w:r w:rsidR="00524A68">
        <w:t>recursos devem</w:t>
      </w:r>
      <w:r>
        <w:t xml:space="preserve"> ser inclusos, em especial</w:t>
      </w:r>
      <w:r w:rsidRPr="00285AF8">
        <w:t xml:space="preserve"> os provenientes dos proprietários e acionistas da empresa, e o retorno em forma de lucro ou dividendos. Essa separação é útil para prever as exigências sobre futuros fluxos de caixa pelos fornecedores de capital da entidade.</w:t>
      </w:r>
    </w:p>
    <w:p w:rsidR="00A304B4" w:rsidRPr="00250A94" w:rsidRDefault="00A304B4" w:rsidP="00FE7915">
      <w:pPr>
        <w:pStyle w:val="ABNT"/>
        <w:ind w:firstLine="709"/>
      </w:pPr>
      <w:r w:rsidRPr="00BB5B37">
        <w:t xml:space="preserve">As </w:t>
      </w:r>
      <w:r>
        <w:t>A</w:t>
      </w:r>
      <w:r w:rsidRPr="00BB5B37">
        <w:t xml:space="preserve">tividades de </w:t>
      </w:r>
      <w:r>
        <w:t>I</w:t>
      </w:r>
      <w:r w:rsidRPr="00BB5B37">
        <w:t>nvestimento tem a finalidade de gerar resultad</w:t>
      </w:r>
      <w:r>
        <w:t>os e fluxos de caixa no futuro, no qual c</w:t>
      </w:r>
      <w:r w:rsidRPr="00BB5B37">
        <w:t xml:space="preserve">ompreendem transações de ativos financeiros, de compra ou venda de ativos permanentes e de ativos utilizados na produção de bens ou prestação de serviços </w:t>
      </w:r>
      <w:r w:rsidRPr="005C29B2">
        <w:t>ligados ao objeto social da Entidade.</w:t>
      </w:r>
    </w:p>
    <w:p w:rsidR="00A304B4" w:rsidRPr="00F9605C" w:rsidRDefault="00A304B4" w:rsidP="00F9605C">
      <w:pPr>
        <w:pStyle w:val="ABNT"/>
        <w:spacing w:line="276" w:lineRule="auto"/>
        <w:rPr>
          <w:sz w:val="20"/>
        </w:rPr>
      </w:pPr>
    </w:p>
    <w:p w:rsidR="00A304B4" w:rsidRPr="00A304B4" w:rsidRDefault="00A304B4" w:rsidP="00A304B4">
      <w:pPr>
        <w:pStyle w:val="HeadlineABNT"/>
        <w:numPr>
          <w:ilvl w:val="1"/>
          <w:numId w:val="3"/>
        </w:numPr>
        <w:ind w:left="360"/>
        <w:rPr>
          <w:lang w:val="pt-BR"/>
        </w:rPr>
      </w:pPr>
      <w:bookmarkStart w:id="7" w:name="_Toc338973037"/>
      <w:bookmarkStart w:id="8" w:name="_Toc338973064"/>
      <w:bookmarkStart w:id="9" w:name="_Toc338973114"/>
      <w:bookmarkStart w:id="10" w:name="_Toc339406846"/>
      <w:r w:rsidRPr="00A304B4">
        <w:rPr>
          <w:lang w:val="pt-BR"/>
        </w:rPr>
        <w:t>Camargo e Corrêa Desenvolvimento Imobiliário SA</w:t>
      </w:r>
      <w:bookmarkEnd w:id="7"/>
      <w:bookmarkEnd w:id="8"/>
      <w:bookmarkEnd w:id="9"/>
      <w:bookmarkEnd w:id="10"/>
    </w:p>
    <w:p w:rsidR="00A304B4" w:rsidRPr="00BE5EE0" w:rsidRDefault="00A304B4" w:rsidP="00A304B4">
      <w:pPr>
        <w:pStyle w:val="ABNT"/>
        <w:spacing w:line="276" w:lineRule="auto"/>
      </w:pPr>
    </w:p>
    <w:p w:rsidR="00A304B4" w:rsidRDefault="00A304B4" w:rsidP="00FE7915">
      <w:pPr>
        <w:pStyle w:val="ABNT"/>
        <w:ind w:firstLine="709"/>
      </w:pPr>
      <w:r>
        <w:t xml:space="preserve">A Camargo Corrêa é uma sociedade anônima de capital aberto, sediada na cidade de São Paulo (SP). A companhia </w:t>
      </w:r>
      <w:r w:rsidR="005529B0" w:rsidRPr="005529B0">
        <w:t>objetiva</w:t>
      </w:r>
      <w:r>
        <w:t xml:space="preserve"> o desenvolvimento, a incorporação, prestação de serviços de assessoria, locação e construção de imóveis residenciais ou comerciais. Atualmente, atua na região metropolitana da cidade de São Paulo, no litoral e no interior do Estado de São Paulo e nos Estados do Rio de Janeiro, de Minas Gerais, do Espírito Santo e do Paraná. </w:t>
      </w:r>
    </w:p>
    <w:p w:rsidR="00A304B4" w:rsidRDefault="00A304B4" w:rsidP="00FE7915">
      <w:pPr>
        <w:pStyle w:val="ABNT"/>
        <w:ind w:firstLine="709"/>
      </w:pPr>
      <w:r>
        <w:t xml:space="preserve">No </w:t>
      </w:r>
      <w:r w:rsidRPr="00A67AA8">
        <w:t>Anexo 1</w:t>
      </w:r>
      <w:r>
        <w:t xml:space="preserve"> é exibido o Fluxo de Caixa para os exercícios findos em 31 de dezembro de 2011 e 2010 da companhia, onde serão analisadas apenas as informações contidas no grupo de consolidados.</w:t>
      </w:r>
    </w:p>
    <w:p w:rsidR="00A304B4" w:rsidRPr="005D618E" w:rsidRDefault="009A0797" w:rsidP="00FE7915">
      <w:pPr>
        <w:pStyle w:val="ABNT"/>
        <w:ind w:firstLine="709"/>
      </w:pPr>
      <w:r>
        <w:t>N</w:t>
      </w:r>
      <w:r w:rsidR="00A304B4" w:rsidRPr="001669F4">
        <w:t>a análise do demonstrativo</w:t>
      </w:r>
      <w:r w:rsidR="00D836F7">
        <w:t>,</w:t>
      </w:r>
      <w:r w:rsidR="00A304B4" w:rsidRPr="001669F4">
        <w:t xml:space="preserve"> verifica</w:t>
      </w:r>
      <w:r w:rsidR="00A304B4">
        <w:t>-se que no grupo Consolidado</w:t>
      </w:r>
      <w:r w:rsidR="00D836F7">
        <w:t>,</w:t>
      </w:r>
      <w:r w:rsidR="00A304B4">
        <w:t xml:space="preserve"> o Caixa e E</w:t>
      </w:r>
      <w:r w:rsidR="00A304B4" w:rsidRPr="001669F4">
        <w:t>quivalentes obtiveram um aumento de um exercício para outro</w:t>
      </w:r>
      <w:r w:rsidR="003542AF">
        <w:t>,</w:t>
      </w:r>
      <w:r w:rsidR="00A304B4" w:rsidRPr="001669F4">
        <w:t xml:space="preserve"> explicado pelas movimentações das atividades operacionais, financeiras e de empréstimos.</w:t>
      </w:r>
      <w:r w:rsidR="00A304B4" w:rsidRPr="005D618E">
        <w:t xml:space="preserve">As atividades operacionais sofreram uma redução no caixa líquido </w:t>
      </w:r>
      <w:r w:rsidR="003542AF">
        <w:t>devido à</w:t>
      </w:r>
      <w:r w:rsidR="00A304B4" w:rsidRPr="005D618E">
        <w:t xml:space="preserve"> diminuição dos adiantamentos de clientes, </w:t>
      </w:r>
      <w:r w:rsidR="009E4A87" w:rsidRPr="005D618E">
        <w:t>o aumento dos juros pagos, impostos e contribuições a recolher, o aumento de duplicadas a receber que retarda o recebimento do dinheiro que iria para o caixa</w:t>
      </w:r>
      <w:r w:rsidR="009E4A87">
        <w:t xml:space="preserve">. </w:t>
      </w:r>
      <w:r w:rsidR="009A7107">
        <w:t>Já n</w:t>
      </w:r>
      <w:r w:rsidR="00A304B4" w:rsidRPr="005D618E">
        <w:t xml:space="preserve">as atividades de investimento ocorreu uma redução </w:t>
      </w:r>
      <w:r w:rsidR="00DC6C89">
        <w:t>decorrente do</w:t>
      </w:r>
      <w:r w:rsidR="00A304B4" w:rsidRPr="005D618E">
        <w:t xml:space="preserve"> aumento de aquisições de aplicações financeiras</w:t>
      </w:r>
      <w:r w:rsidR="00231547">
        <w:t>, cujo efeito é</w:t>
      </w:r>
      <w:r w:rsidR="00A304B4" w:rsidRPr="005D618E">
        <w:t xml:space="preserve"> a redução da conta caixa.</w:t>
      </w:r>
    </w:p>
    <w:p w:rsidR="00A304B4" w:rsidRPr="00BE5EE0" w:rsidRDefault="00A304B4" w:rsidP="00FE7915">
      <w:pPr>
        <w:pStyle w:val="ABNT"/>
        <w:ind w:firstLine="709"/>
      </w:pPr>
      <w:r w:rsidRPr="00BE5EE0">
        <w:t xml:space="preserve">Apenas o fluxo de caixa das atividades de financiamento obteve variação positiva. </w:t>
      </w:r>
      <w:r w:rsidR="00524A68" w:rsidRPr="00BE5EE0">
        <w:t>Essa ocorreu</w:t>
      </w:r>
      <w:r w:rsidRPr="00BE5EE0">
        <w:t xml:space="preserve"> pela captação de financiamentos e debêntures que aumentaram a entrada de dinheiro no caixa da empresa.</w:t>
      </w:r>
    </w:p>
    <w:p w:rsidR="00A304B4" w:rsidRDefault="00A304B4" w:rsidP="00FE7915">
      <w:pPr>
        <w:pStyle w:val="ABNT"/>
        <w:ind w:firstLine="709"/>
      </w:pPr>
      <w:r w:rsidRPr="00BE5EE0">
        <w:lastRenderedPageBreak/>
        <w:t>Observamos que mesmo a empresa apresentando prejuízo no período, ela conseguiu manter um fluxo de caixa positivo, isso porque, estimando uma escassez de caixa, realizou financiamentos para suprir</w:t>
      </w:r>
      <w:r w:rsidR="00C56EA8">
        <w:t xml:space="preserve"> a sua necessidade futura</w:t>
      </w:r>
      <w:r w:rsidRPr="00BE5EE0">
        <w:t>.</w:t>
      </w:r>
    </w:p>
    <w:p w:rsidR="00F9605C" w:rsidRPr="00BE5EE0" w:rsidRDefault="00F9605C" w:rsidP="00F9605C">
      <w:pPr>
        <w:pStyle w:val="ABNT"/>
      </w:pPr>
    </w:p>
    <w:p w:rsidR="00A304B4" w:rsidRDefault="00A304B4" w:rsidP="00A304B4">
      <w:pPr>
        <w:pStyle w:val="HeadlineABNT"/>
        <w:numPr>
          <w:ilvl w:val="0"/>
          <w:numId w:val="3"/>
        </w:numPr>
        <w:ind w:left="360"/>
      </w:pPr>
      <w:bookmarkStart w:id="11" w:name="_Toc338973038"/>
      <w:bookmarkStart w:id="12" w:name="_Toc338973065"/>
      <w:bookmarkStart w:id="13" w:name="_Toc338973115"/>
      <w:bookmarkStart w:id="14" w:name="_Toc339406847"/>
      <w:r>
        <w:t>DEMONSTRAÇÃO DO VALOR ADICIONADO</w:t>
      </w:r>
      <w:bookmarkEnd w:id="11"/>
      <w:bookmarkEnd w:id="12"/>
      <w:bookmarkEnd w:id="13"/>
      <w:bookmarkEnd w:id="14"/>
    </w:p>
    <w:p w:rsidR="00FC59B1" w:rsidRPr="00FC59B1" w:rsidRDefault="00FC59B1" w:rsidP="00F9605C">
      <w:pPr>
        <w:pStyle w:val="ABNT"/>
        <w:spacing w:line="276" w:lineRule="auto"/>
      </w:pPr>
    </w:p>
    <w:p w:rsidR="00FC59B1" w:rsidRPr="00FC59B1" w:rsidRDefault="00FC59B1" w:rsidP="00FE7915">
      <w:pPr>
        <w:pStyle w:val="ABNT"/>
        <w:ind w:firstLine="709"/>
      </w:pPr>
      <w:r w:rsidRPr="00FC59B1">
        <w:t>A Demonstração do Valor Adicionado (DVA) – instrumento útil na tomada de decisões – é obrigatória para as companhias abertas conforme a Lei n 11.638/07 e é apresentada ao fin</w:t>
      </w:r>
      <w:r w:rsidR="00DD52F4">
        <w:t>al de cada exercício, nos quais os dados são provenientes, em sua maioria, da DRE.</w:t>
      </w:r>
    </w:p>
    <w:p w:rsidR="00FC59B1" w:rsidRPr="00FC59B1" w:rsidRDefault="00FC59B1" w:rsidP="00FE7915">
      <w:pPr>
        <w:pStyle w:val="ABNT"/>
        <w:ind w:firstLine="709"/>
      </w:pPr>
      <w:r w:rsidRPr="00FC59B1">
        <w:t xml:space="preserve">Essa </w:t>
      </w:r>
      <w:r w:rsidR="00524A68" w:rsidRPr="00FC59B1">
        <w:t>demonstração evidencia</w:t>
      </w:r>
      <w:r w:rsidRPr="00FC59B1">
        <w:t xml:space="preserve"> a formação da riqueza gerada</w:t>
      </w:r>
      <w:r w:rsidR="003768A8">
        <w:t xml:space="preserve">, que segundo MARION (2009) </w:t>
      </w:r>
      <w:r w:rsidR="00524A68">
        <w:t>é dada pelo</w:t>
      </w:r>
      <w:r w:rsidR="00654592" w:rsidRPr="00BE5EE0">
        <w:t>valor das vendas subtraído de todas as compras de bens e serviços utilizados no p</w:t>
      </w:r>
      <w:r w:rsidR="00654592">
        <w:t>rocesso de produção da empresa</w:t>
      </w:r>
      <w:r w:rsidR="003768A8">
        <w:t>,</w:t>
      </w:r>
      <w:r w:rsidRPr="00FC59B1">
        <w:t>pela</w:t>
      </w:r>
      <w:r w:rsidR="003768A8">
        <w:t xml:space="preserve"> empresa e como foi distribuída. É</w:t>
      </w:r>
      <w:r w:rsidRPr="00FC59B1">
        <w:t xml:space="preserve"> um dos principais itens do Balanço Social, cujo papel é fornecer informações a respeito do desempenho econômico-social da empresa, possibilitando a avaliação de suas atividades dentro da sociedade inserida. </w:t>
      </w:r>
    </w:p>
    <w:p w:rsidR="00A304B4" w:rsidRPr="00BE5EE0" w:rsidRDefault="00A304B4" w:rsidP="00FE7915">
      <w:pPr>
        <w:pStyle w:val="ABNT"/>
        <w:ind w:firstLine="709"/>
      </w:pPr>
      <w:r w:rsidRPr="00BE5EE0">
        <w:t>O valor agregado corresponde à contribuição da empresa em relação ao PIB do país. De acordo</w:t>
      </w:r>
      <w:r w:rsidR="0040454F">
        <w:t xml:space="preserve"> com o</w:t>
      </w:r>
      <w:r w:rsidRPr="00BE5EE0">
        <w:t xml:space="preserve"> CPC 09</w:t>
      </w:r>
      <w:r w:rsidR="0040454F">
        <w:t>,</w:t>
      </w:r>
      <w:r w:rsidRPr="00BE5EE0">
        <w:t xml:space="preserve"> a DVA apresenta o quanto a entidade agrega de valor aos insumos adquiridos de terceiros e vendidos ou consumidos em determinado período.</w:t>
      </w:r>
    </w:p>
    <w:p w:rsidR="00A304B4" w:rsidRPr="00BE5EE0" w:rsidRDefault="00A304B4" w:rsidP="00FE7915">
      <w:pPr>
        <w:pStyle w:val="ABNT"/>
        <w:ind w:firstLine="709"/>
      </w:pPr>
      <w:r w:rsidRPr="00BE5EE0">
        <w:t>A primeira parte da DVA apresenta</w:t>
      </w:r>
      <w:r w:rsidR="0040454F">
        <w:t>,</w:t>
      </w:r>
      <w:r w:rsidRPr="00BE5EE0">
        <w:t xml:space="preserve"> de forma detalhada</w:t>
      </w:r>
      <w:r w:rsidR="0040454F">
        <w:t>,</w:t>
      </w:r>
      <w:r w:rsidRPr="00BE5EE0">
        <w:t xml:space="preserve"> os componentes da riqueza criada pela empresa</w:t>
      </w:r>
      <w:r w:rsidR="0040454F">
        <w:t>, representados</w:t>
      </w:r>
      <w:r w:rsidRPr="00BE5EE0">
        <w:t xml:space="preserve"> pelos seguintes itens:</w:t>
      </w:r>
      <w:r w:rsidR="0040454F">
        <w:t xml:space="preserve"> as receitas, cujos</w:t>
      </w:r>
      <w:r w:rsidRPr="00BE5EE0">
        <w:t xml:space="preserve"> componentes </w:t>
      </w:r>
      <w:r w:rsidR="0040454F">
        <w:t>são</w:t>
      </w:r>
      <w:r w:rsidRPr="00BE5EE0">
        <w:t xml:space="preserve"> as vendas de mercadorias, produtos e serviços (incluindo os valores de tributos incidentes), outras receitas e provisões para créditos de liquidação duvidosa;</w:t>
      </w:r>
      <w:r w:rsidR="0040454F">
        <w:t xml:space="preserve"> insumos adquiridos de terceiros, </w:t>
      </w:r>
      <w:r w:rsidR="00524A68">
        <w:t>abrangendo</w:t>
      </w:r>
      <w:r w:rsidRPr="00BE5EE0">
        <w:t>os custos dos produtos, mercadorias e serviços vendidos, materiais, energia, serviços de terceiros e outros, perda e recuperação de valores ativos, depr</w:t>
      </w:r>
      <w:r w:rsidR="0040454F">
        <w:t>eciação, amortização e exaustão; e por último o v</w:t>
      </w:r>
      <w:r w:rsidRPr="00BE5EE0">
        <w:t xml:space="preserve">alor adicionado recebido em </w:t>
      </w:r>
      <w:r w:rsidR="00524A68" w:rsidRPr="00BE5EE0">
        <w:t>transferência</w:t>
      </w:r>
      <w:r w:rsidR="00524A68">
        <w:t xml:space="preserve"> que</w:t>
      </w:r>
      <w:r w:rsidR="0040454F">
        <w:t xml:space="preserve"> são</w:t>
      </w:r>
      <w:r w:rsidRPr="00BE5EE0">
        <w:t xml:space="preserve"> as contas de resultado de equivalência patrimonial,</w:t>
      </w:r>
      <w:r w:rsidR="0040454F">
        <w:t xml:space="preserve"> receitas financeiras e outras r</w:t>
      </w:r>
      <w:r w:rsidRPr="00BE5EE0">
        <w:t>eceitas.</w:t>
      </w:r>
    </w:p>
    <w:p w:rsidR="00A304B4" w:rsidRPr="00BE5EE0" w:rsidRDefault="00A304B4" w:rsidP="00FE7915">
      <w:pPr>
        <w:pStyle w:val="ABNT"/>
        <w:ind w:firstLine="709"/>
      </w:pPr>
      <w:r w:rsidRPr="00BE5EE0">
        <w:t xml:space="preserve">A segunda parte da DVA apresenta </w:t>
      </w:r>
      <w:r w:rsidR="00564FE8">
        <w:t xml:space="preserve">substancialmente como a riqueza foi distribuída,cujos </w:t>
      </w:r>
      <w:r w:rsidRPr="00BE5EE0">
        <w:t>principais itens são:</w:t>
      </w:r>
      <w:r w:rsidR="00564FE8">
        <w:t xml:space="preserve"> p</w:t>
      </w:r>
      <w:r w:rsidRPr="00BE5EE0">
        <w:t xml:space="preserve">essoal </w:t>
      </w:r>
      <w:r w:rsidR="00564FE8">
        <w:t>(</w:t>
      </w:r>
      <w:r w:rsidRPr="00BE5EE0">
        <w:t>são valores apropriados ao custo e resultado na forma de remuneração direta, benefícios e FGTS</w:t>
      </w:r>
      <w:r w:rsidR="00564FE8">
        <w:t>)</w:t>
      </w:r>
      <w:r w:rsidRPr="00BE5EE0">
        <w:t>;</w:t>
      </w:r>
      <w:r w:rsidR="00564FE8">
        <w:t xml:space="preserve"> i</w:t>
      </w:r>
      <w:r w:rsidRPr="00BE5EE0">
        <w:t xml:space="preserve">mpostos, taxas e contribuições </w:t>
      </w:r>
      <w:r w:rsidR="00564FE8">
        <w:t>(</w:t>
      </w:r>
      <w:r w:rsidRPr="00BE5EE0">
        <w:t>valores relativos a todos os impostos e contribuições que a empresa esteja sujeitam, separados em Federais, Estaduais e Municipais</w:t>
      </w:r>
      <w:r w:rsidR="00564FE8">
        <w:t>)</w:t>
      </w:r>
      <w:r w:rsidRPr="00BE5EE0">
        <w:t>;</w:t>
      </w:r>
      <w:r w:rsidR="00564FE8">
        <w:t xml:space="preserve"> r</w:t>
      </w:r>
      <w:r w:rsidRPr="00BE5EE0">
        <w:t>emun</w:t>
      </w:r>
      <w:r w:rsidR="00564FE8">
        <w:t>eração de capitais de terceiros(</w:t>
      </w:r>
      <w:r w:rsidRPr="00BE5EE0">
        <w:t>são valores pagos aos financiadores externos de capital. Seus componentes são os juros, alugueis e outras remunerações que configurem transferência de riqueza a terceiros</w:t>
      </w:r>
      <w:r w:rsidR="00564FE8">
        <w:t>)</w:t>
      </w:r>
      <w:r w:rsidRPr="00BE5EE0">
        <w:t>;</w:t>
      </w:r>
      <w:r w:rsidR="00564FE8">
        <w:t xml:space="preserve"> e r</w:t>
      </w:r>
      <w:r w:rsidRPr="00BE5EE0">
        <w:t xml:space="preserve">emuneração de capitais próprios </w:t>
      </w:r>
      <w:r w:rsidR="00564FE8">
        <w:t>(</w:t>
      </w:r>
      <w:r w:rsidRPr="00BE5EE0">
        <w:t xml:space="preserve">são </w:t>
      </w:r>
      <w:r w:rsidRPr="00BE5EE0">
        <w:lastRenderedPageBreak/>
        <w:t>valores referentes à remuneração dos sócios e acionistas e seus componentes são os juros sobre o capital próprio, lucros retidos e prejuízos do exercício</w:t>
      </w:r>
      <w:r w:rsidR="00564FE8">
        <w:t>)</w:t>
      </w:r>
      <w:r w:rsidRPr="00BE5EE0">
        <w:t>.</w:t>
      </w:r>
    </w:p>
    <w:p w:rsidR="00A304B4" w:rsidRPr="00BE5EE0" w:rsidRDefault="00A304B4" w:rsidP="00FE7915">
      <w:pPr>
        <w:pStyle w:val="ABNT"/>
        <w:ind w:firstLine="709"/>
      </w:pPr>
      <w:r w:rsidRPr="00BE5EE0">
        <w:t>No</w:t>
      </w:r>
      <w:r w:rsidRPr="00A67AA8">
        <w:t xml:space="preserve"> Anexo </w:t>
      </w:r>
      <w:r w:rsidR="00A67AA8" w:rsidRPr="00A67AA8">
        <w:t>1</w:t>
      </w:r>
      <w:r w:rsidRPr="00BE5EE0">
        <w:t xml:space="preserve"> encontra-se a DVA da Companhia Camargo e Corrêa onde serão analisados apenas os valores do grupo de Consolidados.</w:t>
      </w:r>
    </w:p>
    <w:p w:rsidR="00A304B4" w:rsidRPr="00BE5EE0" w:rsidRDefault="00A304B4" w:rsidP="00FE7915">
      <w:pPr>
        <w:pStyle w:val="ABNT"/>
        <w:ind w:firstLine="709"/>
      </w:pPr>
      <w:r w:rsidRPr="00BB5B37">
        <w:t xml:space="preserve">Observando o demonstrativo </w:t>
      </w:r>
      <w:r w:rsidR="00826E9E">
        <w:t>verifica-seque ao comparar</w:t>
      </w:r>
      <w:r w:rsidRPr="00BB5B37">
        <w:t xml:space="preserve"> com o exercício de 2010,a empresa sofreu uma grande redução em seu valor adicionado líquido produzido. </w:t>
      </w:r>
      <w:r w:rsidR="00826E9E">
        <w:t xml:space="preserve">Esta </w:t>
      </w:r>
      <w:r w:rsidR="00524A68">
        <w:t>variação d</w:t>
      </w:r>
      <w:r w:rsidR="00524A68" w:rsidRPr="00531170">
        <w:t>ecorreu</w:t>
      </w:r>
      <w:r w:rsidR="00826E9E">
        <w:t>d</w:t>
      </w:r>
      <w:r w:rsidRPr="00531170">
        <w:t>a redução nos comp</w:t>
      </w:r>
      <w:r w:rsidR="00826E9E">
        <w:t>onentes da receita e pelo</w:t>
      </w:r>
      <w:r w:rsidRPr="00531170">
        <w:t xml:space="preserve"> aumento no item de insumos adquiridos de terceiros, utiliza</w:t>
      </w:r>
      <w:r w:rsidR="00826E9E">
        <w:t>dos no processo de produção, que diminuiu</w:t>
      </w:r>
      <w:r w:rsidRPr="00531170">
        <w:t xml:space="preserve"> o valor adicionado bruto.</w:t>
      </w:r>
    </w:p>
    <w:p w:rsidR="00A304B4" w:rsidRPr="00BE5EE0" w:rsidRDefault="00A304B4" w:rsidP="00FE7915">
      <w:pPr>
        <w:pStyle w:val="ABNT"/>
        <w:ind w:firstLine="709"/>
      </w:pPr>
      <w:r>
        <w:tab/>
      </w:r>
      <w:r w:rsidRPr="00A35AA3">
        <w:t xml:space="preserve">No exercício de 2011 </w:t>
      </w:r>
      <w:r>
        <w:t xml:space="preserve">a empresa </w:t>
      </w:r>
      <w:r w:rsidR="00524A68">
        <w:t>apurou um</w:t>
      </w:r>
      <w:r>
        <w:t xml:space="preserve"> prejuízo, </w:t>
      </w:r>
      <w:r w:rsidRPr="00A35AA3">
        <w:t>por isso não houve a distribuição de dividendos</w:t>
      </w:r>
      <w:r>
        <w:t>, visto que a riqueza gerada não foi suficiente</w:t>
      </w:r>
      <w:r w:rsidR="00255802">
        <w:t xml:space="preserve"> para remunerar os sócios. Apesar da perda</w:t>
      </w:r>
      <w:r>
        <w:t>, a empresa através do lucro adquirido pela atividade da empresa, pagou os funcionários e encargos, tributos e remunerou o capital de terceiros.</w:t>
      </w:r>
    </w:p>
    <w:p w:rsidR="00A304B4" w:rsidRPr="00BE5EE0" w:rsidRDefault="00A304B4" w:rsidP="00E920CF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</w:p>
    <w:p w:rsidR="00A304B4" w:rsidRPr="00A304B4" w:rsidRDefault="00A304B4" w:rsidP="00E920CF">
      <w:pPr>
        <w:pStyle w:val="HeadlineABNT"/>
        <w:numPr>
          <w:ilvl w:val="0"/>
          <w:numId w:val="3"/>
        </w:numPr>
        <w:ind w:left="360"/>
        <w:rPr>
          <w:rFonts w:eastAsia="Times New Roman"/>
          <w:lang w:val="pt-BR" w:eastAsia="pt-BR"/>
        </w:rPr>
      </w:pPr>
      <w:bookmarkStart w:id="15" w:name="_Toc338973039"/>
      <w:bookmarkStart w:id="16" w:name="_Toc338973066"/>
      <w:bookmarkStart w:id="17" w:name="_Toc338973116"/>
      <w:bookmarkStart w:id="18" w:name="_Toc339406848"/>
      <w:r w:rsidRPr="00A304B4">
        <w:rPr>
          <w:rFonts w:eastAsia="Times New Roman"/>
          <w:lang w:val="pt-BR" w:eastAsia="pt-BR"/>
        </w:rPr>
        <w:t>PORQ</w:t>
      </w:r>
      <w:r>
        <w:rPr>
          <w:rFonts w:eastAsia="Times New Roman"/>
          <w:lang w:val="pt-BR" w:eastAsia="pt-BR"/>
        </w:rPr>
        <w:t>UE PATROCINAR UM PLANO DE BENEFÍ</w:t>
      </w:r>
      <w:r w:rsidRPr="00A304B4">
        <w:rPr>
          <w:rFonts w:eastAsia="Times New Roman"/>
          <w:lang w:val="pt-BR" w:eastAsia="pt-BR"/>
        </w:rPr>
        <w:t>CIOS</w:t>
      </w:r>
      <w:bookmarkEnd w:id="15"/>
      <w:bookmarkEnd w:id="16"/>
      <w:bookmarkEnd w:id="17"/>
      <w:bookmarkEnd w:id="18"/>
    </w:p>
    <w:p w:rsidR="00A304B4" w:rsidRPr="002D6430" w:rsidRDefault="00A304B4" w:rsidP="00E920CF">
      <w:pPr>
        <w:shd w:val="clear" w:color="auto" w:fill="FFFFFF" w:themeFill="background1"/>
        <w:spacing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</w:pPr>
    </w:p>
    <w:p w:rsidR="00A304B4" w:rsidRPr="007B1014" w:rsidRDefault="00524A68" w:rsidP="00FE7915">
      <w:pPr>
        <w:pStyle w:val="SemEspaamento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</w:pPr>
      <w:r w:rsidRPr="0015276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No artigo</w:t>
      </w:r>
      <w:r w:rsidR="00FF7D7D" w:rsidRPr="0015276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170</w:t>
      </w:r>
      <w:r w:rsidR="00147F6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</w:t>
      </w:r>
      <w:r w:rsidR="00FF7D7D" w:rsidRPr="0015276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da C</w:t>
      </w:r>
      <w:r w:rsidR="00A304B4" w:rsidRPr="0015276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onstituição Federal</w:t>
      </w:r>
      <w:r w:rsidR="00147F6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de 1988,</w:t>
      </w:r>
      <w:r w:rsidR="00A304B4" w:rsidRPr="0015276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é estabelecido que </w:t>
      </w:r>
      <w:r w:rsidRPr="0015276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</w:t>
      </w:r>
      <w:r w:rsidRPr="00147F6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“</w:t>
      </w:r>
      <w:r w:rsidRPr="00147F65">
        <w:rPr>
          <w:rStyle w:val="Forte"/>
          <w:rFonts w:ascii="Times New Roman" w:hAnsi="Times New Roman" w:cs="Times New Roman"/>
          <w:b w:val="0"/>
          <w:i/>
          <w:sz w:val="24"/>
          <w:szCs w:val="24"/>
          <w:lang w:val="pt-BR"/>
        </w:rPr>
        <w:t>ordem</w:t>
      </w:r>
      <w:r w:rsidR="00147F65" w:rsidRPr="00147F65">
        <w:rPr>
          <w:rStyle w:val="Forte"/>
          <w:rFonts w:ascii="Times New Roman" w:hAnsi="Times New Roman" w:cs="Times New Roman"/>
          <w:b w:val="0"/>
          <w:i/>
          <w:sz w:val="24"/>
          <w:szCs w:val="24"/>
          <w:lang w:val="pt-BR"/>
        </w:rPr>
        <w:t xml:space="preserve"> econômica, fundada na valorização do trabalho humano e na livre iniciativa, tem por fim assegurar a todos existência digna, conforme os ditames da justiça social [...]</w:t>
      </w:r>
      <w:r w:rsidR="00147F65" w:rsidRPr="00147F65">
        <w:rPr>
          <w:rFonts w:ascii="Times New Roman" w:hAnsi="Times New Roman" w:cs="Times New Roman"/>
          <w:i/>
          <w:sz w:val="20"/>
          <w:szCs w:val="24"/>
          <w:lang w:val="pt-BR"/>
        </w:rPr>
        <w:t>.”</w:t>
      </w:r>
    </w:p>
    <w:p w:rsidR="00A304B4" w:rsidRPr="00351D7A" w:rsidRDefault="00A304B4" w:rsidP="00FE7915">
      <w:pPr>
        <w:pStyle w:val="SemEspaamento"/>
        <w:tabs>
          <w:tab w:val="left" w:pos="540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  <w:t>A previdência complementar proporciona às empresas mecanismos de valorização do trabalho e de c</w:t>
      </w:r>
      <w:r w:rsidR="006757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  <w:t>umprimento de sua função social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  <w:t xml:space="preserve"> ao retribuir aos seus empregados a dedicação do trabalho, mediante a constituição de uma poupança de longo prazo – gerando benefícios em forma de renda para garantir a inatividade, com um padrão compatível com sua remuneração –, a qual </w:t>
      </w:r>
      <w:r w:rsidR="00CF4D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  <w:t xml:space="preserve">protegerá não somente o </w:t>
      </w:r>
      <w:r w:rsidR="005D0E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  <w:t>mesmo</w:t>
      </w:r>
      <w:r w:rsidR="00CF4D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  <w:t xml:space="preserve"> mas também sua família de riscos</w:t>
      </w:r>
      <w:r w:rsidR="00DA30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  <w:t xml:space="preserve"> de invalidez, doenças e morte.</w:t>
      </w:r>
    </w:p>
    <w:p w:rsidR="00A304B4" w:rsidRPr="001E1C10" w:rsidRDefault="0098434D" w:rsidP="00FE7915">
      <w:pPr>
        <w:pStyle w:val="ABNT"/>
        <w:ind w:firstLine="709"/>
        <w:rPr>
          <w:rStyle w:val="Forte"/>
          <w:rFonts w:eastAsia="Times New Roman"/>
          <w:b w:val="0"/>
          <w:bCs w:val="0"/>
          <w:lang w:eastAsia="pt-BR"/>
        </w:rPr>
      </w:pPr>
      <w:r>
        <w:rPr>
          <w:lang w:eastAsia="pt-BR"/>
        </w:rPr>
        <w:t>Hoje em dia, a</w:t>
      </w:r>
      <w:r w:rsidR="00A304B4" w:rsidRPr="001E1C10">
        <w:rPr>
          <w:lang w:eastAsia="pt-BR"/>
        </w:rPr>
        <w:t>poupanç</w:t>
      </w:r>
      <w:r w:rsidR="00A304B4" w:rsidRPr="001E1C10">
        <w:rPr>
          <w:rStyle w:val="Forte"/>
          <w:rFonts w:eastAsia="Times New Roman"/>
          <w:b w:val="0"/>
          <w:lang w:eastAsia="pt-BR"/>
        </w:rPr>
        <w:t>a estável de longo prazo faz com que os fundos de pensão movimentem recurso da orde</w:t>
      </w:r>
      <w:r>
        <w:rPr>
          <w:rStyle w:val="Forte"/>
          <w:rFonts w:eastAsia="Times New Roman"/>
          <w:b w:val="0"/>
          <w:lang w:eastAsia="pt-BR"/>
        </w:rPr>
        <w:t>m de 16% do PIB</w:t>
      </w:r>
      <w:r w:rsidR="00A304B4" w:rsidRPr="001E1C10">
        <w:rPr>
          <w:rStyle w:val="Forte"/>
          <w:rFonts w:eastAsia="Times New Roman"/>
          <w:b w:val="0"/>
          <w:lang w:eastAsia="pt-BR"/>
        </w:rPr>
        <w:t>, contribuindo para a poupança previdenc</w:t>
      </w:r>
      <w:r>
        <w:rPr>
          <w:rStyle w:val="Forte"/>
          <w:rFonts w:eastAsia="Times New Roman"/>
          <w:b w:val="0"/>
          <w:lang w:eastAsia="pt-BR"/>
        </w:rPr>
        <w:t>iária de cada trabalhador e o desenvolvimento sócio</w:t>
      </w:r>
      <w:r w:rsidR="00524A68">
        <w:rPr>
          <w:rStyle w:val="Forte"/>
          <w:rFonts w:eastAsia="Times New Roman"/>
          <w:b w:val="0"/>
          <w:lang w:eastAsia="pt-BR"/>
        </w:rPr>
        <w:t>-</w:t>
      </w:r>
      <w:r>
        <w:rPr>
          <w:rStyle w:val="Forte"/>
          <w:rFonts w:eastAsia="Times New Roman"/>
          <w:b w:val="0"/>
          <w:lang w:eastAsia="pt-BR"/>
        </w:rPr>
        <w:t>econômico do paí</w:t>
      </w:r>
      <w:r w:rsidR="00A304B4" w:rsidRPr="001E1C10">
        <w:rPr>
          <w:rStyle w:val="Forte"/>
          <w:rFonts w:eastAsia="Times New Roman"/>
          <w:b w:val="0"/>
          <w:lang w:eastAsia="pt-BR"/>
        </w:rPr>
        <w:t xml:space="preserve">s, com a realização de investimento para a geração de emprego e renda, </w:t>
      </w:r>
      <w:r w:rsidR="003C55DE">
        <w:rPr>
          <w:rStyle w:val="Forte"/>
          <w:rFonts w:eastAsia="Times New Roman"/>
          <w:b w:val="0"/>
          <w:lang w:eastAsia="pt-BR"/>
        </w:rPr>
        <w:t>beneficiando</w:t>
      </w:r>
      <w:r w:rsidR="00A304B4" w:rsidRPr="001E1C10">
        <w:rPr>
          <w:rStyle w:val="Forte"/>
          <w:rFonts w:eastAsia="Times New Roman"/>
          <w:b w:val="0"/>
          <w:lang w:eastAsia="pt-BR"/>
        </w:rPr>
        <w:t xml:space="preserve"> toda a sociedade. Somam-se a isso as vantagens tributárias que tornam os benefícios previdenciários melhor, </w:t>
      </w:r>
      <w:r w:rsidR="003C55DE">
        <w:rPr>
          <w:rStyle w:val="Forte"/>
          <w:rFonts w:eastAsia="Times New Roman"/>
          <w:b w:val="0"/>
          <w:lang w:eastAsia="pt-BR"/>
        </w:rPr>
        <w:t>uma vez que</w:t>
      </w:r>
      <w:r w:rsidR="00A304B4" w:rsidRPr="001E1C10">
        <w:rPr>
          <w:rStyle w:val="Forte"/>
          <w:rFonts w:eastAsia="Times New Roman"/>
          <w:b w:val="0"/>
          <w:lang w:eastAsia="pt-BR"/>
        </w:rPr>
        <w:t xml:space="preserve"> as contribuições do patrocinador para o plano de benefícios podem ser deduzidas da base de cálculo do imposto de renda de pessoas jurídicas. Além disso, os ganhos e rendimentos das aplicações dos recursos previdenciários submetem-se a regime tributário diferenciado. Os planos </w:t>
      </w:r>
      <w:r w:rsidR="00A304B4" w:rsidRPr="001E1C10">
        <w:rPr>
          <w:rStyle w:val="Forte"/>
          <w:rFonts w:eastAsia="Times New Roman"/>
          <w:b w:val="0"/>
          <w:lang w:eastAsia="pt-BR"/>
        </w:rPr>
        <w:lastRenderedPageBreak/>
        <w:t>previdenciários são uma eficiente ferramenta da política de recursos humanos das empresas, constituindo um atrativo para contratação de mão de obra qualificada e renovação de quadros profissionais.</w:t>
      </w:r>
    </w:p>
    <w:p w:rsidR="00A304B4" w:rsidRDefault="00A304B4" w:rsidP="00FE7915">
      <w:pPr>
        <w:pStyle w:val="ABNT"/>
        <w:ind w:firstLine="709"/>
        <w:rPr>
          <w:rStyle w:val="Forte"/>
          <w:rFonts w:eastAsia="Times New Roman"/>
          <w:b w:val="0"/>
          <w:lang w:eastAsia="pt-BR"/>
        </w:rPr>
      </w:pPr>
      <w:r w:rsidRPr="001E1C10">
        <w:rPr>
          <w:rStyle w:val="Forte"/>
          <w:rFonts w:eastAsia="Times New Roman"/>
          <w:b w:val="0"/>
          <w:lang w:eastAsia="pt-BR"/>
        </w:rPr>
        <w:t xml:space="preserve">Ressalta-se, por fim, que a Entidade Fechada de Previdência Complementar que opera plano de benefícios de natureza previdenciária tem finalidade lucrativa, destinando-se unicamente à proteção dos trabalhadores. Desta forma, a rentabilidade dos investimentos será revertida em favor dos participantes. </w:t>
      </w:r>
    </w:p>
    <w:p w:rsidR="00DA10D6" w:rsidRPr="00DA10D6" w:rsidRDefault="00DA10D6" w:rsidP="00DA10D6">
      <w:pPr>
        <w:pStyle w:val="ABNT"/>
        <w:spacing w:line="240" w:lineRule="auto"/>
        <w:rPr>
          <w:rStyle w:val="Forte"/>
          <w:b w:val="0"/>
          <w:bCs w:val="0"/>
        </w:rPr>
      </w:pPr>
    </w:p>
    <w:p w:rsidR="00A304B4" w:rsidRPr="007B1014" w:rsidRDefault="00A304B4" w:rsidP="00023F38">
      <w:pPr>
        <w:pStyle w:val="HeadlineABNT"/>
        <w:numPr>
          <w:ilvl w:val="0"/>
          <w:numId w:val="3"/>
        </w:numPr>
        <w:ind w:left="360"/>
        <w:rPr>
          <w:rFonts w:eastAsia="Times New Roman"/>
          <w:lang w:val="pt-BR" w:eastAsia="pt-BR"/>
        </w:rPr>
      </w:pPr>
      <w:bookmarkStart w:id="19" w:name="_Toc338973040"/>
      <w:bookmarkStart w:id="20" w:name="_Toc338973067"/>
      <w:bookmarkStart w:id="21" w:name="_Toc338973117"/>
      <w:bookmarkStart w:id="22" w:name="_Toc339406849"/>
      <w:r w:rsidRPr="007B1014">
        <w:rPr>
          <w:rFonts w:eastAsia="Times New Roman"/>
          <w:lang w:val="pt-BR" w:eastAsia="pt-BR"/>
        </w:rPr>
        <w:t>PREVIG</w:t>
      </w:r>
      <w:bookmarkEnd w:id="19"/>
      <w:bookmarkEnd w:id="20"/>
      <w:bookmarkEnd w:id="21"/>
      <w:bookmarkEnd w:id="22"/>
    </w:p>
    <w:p w:rsidR="00A304B4" w:rsidRPr="007B1014" w:rsidRDefault="00A304B4" w:rsidP="00DA10D6">
      <w:pPr>
        <w:pStyle w:val="ABNT"/>
        <w:spacing w:line="276" w:lineRule="auto"/>
        <w:rPr>
          <w:lang w:eastAsia="pt-BR"/>
        </w:rPr>
      </w:pPr>
    </w:p>
    <w:p w:rsidR="00023F38" w:rsidRPr="00023F38" w:rsidRDefault="00A304B4" w:rsidP="00FE7915">
      <w:pPr>
        <w:pStyle w:val="ABNT"/>
        <w:ind w:firstLine="709"/>
        <w:rPr>
          <w:lang w:eastAsia="pt-BR"/>
        </w:rPr>
      </w:pPr>
      <w:r w:rsidRPr="007B1014">
        <w:rPr>
          <w:lang w:eastAsia="pt-BR"/>
        </w:rPr>
        <w:tab/>
      </w:r>
      <w:r w:rsidR="00524A68">
        <w:rPr>
          <w:lang w:eastAsia="pt-BR"/>
        </w:rPr>
        <w:t xml:space="preserve">A empresa </w:t>
      </w:r>
      <w:r w:rsidR="00524A68" w:rsidRPr="007B1014">
        <w:rPr>
          <w:lang w:eastAsia="pt-BR"/>
        </w:rPr>
        <w:t>Tractebel Energia</w:t>
      </w:r>
      <w:r w:rsidR="00524A68">
        <w:rPr>
          <w:lang w:eastAsia="pt-BR"/>
        </w:rPr>
        <w:t xml:space="preserve"> S/A (cujos demonstrativos financeiros encontram-se no Anexo 2) diante da necessidade de oferecer aos seus empregados um programa de previdência complementar moderno </w:t>
      </w:r>
      <w:r w:rsidR="00524A68" w:rsidRPr="007B1014">
        <w:rPr>
          <w:lang w:eastAsia="pt-BR"/>
        </w:rPr>
        <w:t>e competitivo, harmonizado com a sua política de recursos humanos</w:t>
      </w:r>
      <w:r w:rsidR="00524A68">
        <w:rPr>
          <w:lang w:eastAsia="pt-BR"/>
        </w:rPr>
        <w:t>, autorizou a PREVIG</w:t>
      </w:r>
      <w:r w:rsidR="00524A68" w:rsidRPr="007B1014">
        <w:rPr>
          <w:lang w:eastAsia="pt-BR"/>
        </w:rPr>
        <w:t xml:space="preserve"> a funcionar através da Portaria nº</w:t>
      </w:r>
      <w:r w:rsidR="00524A68">
        <w:rPr>
          <w:lang w:eastAsia="pt-BR"/>
        </w:rPr>
        <w:t>.</w:t>
      </w:r>
      <w:r w:rsidR="00023F38" w:rsidRPr="007B1014">
        <w:rPr>
          <w:lang w:eastAsia="pt-BR"/>
        </w:rPr>
        <w:t xml:space="preserve"> 991, da Secretaria de Previdência Complementar (SPC)</w:t>
      </w:r>
      <w:r w:rsidR="00023F38">
        <w:rPr>
          <w:lang w:eastAsia="pt-BR"/>
        </w:rPr>
        <w:t xml:space="preserve">, para suprir tal </w:t>
      </w:r>
      <w:r w:rsidR="00847E26">
        <w:rPr>
          <w:lang w:eastAsia="pt-BR"/>
        </w:rPr>
        <w:t>premência.</w:t>
      </w:r>
      <w:r w:rsidR="00023F38">
        <w:rPr>
          <w:lang w:eastAsia="pt-BR"/>
        </w:rPr>
        <w:t xml:space="preserve">Assim, </w:t>
      </w:r>
      <w:r w:rsidR="00546069">
        <w:rPr>
          <w:lang w:eastAsia="pt-BR"/>
        </w:rPr>
        <w:t>em</w:t>
      </w:r>
      <w:r w:rsidR="00023F38" w:rsidRPr="007B1014">
        <w:rPr>
          <w:lang w:eastAsia="pt-BR"/>
        </w:rPr>
        <w:t xml:space="preserve"> outubro do mesmo ano, a SPC através do ofício nº 1755/SPC/GAB/COA aprovou a transferência de gerenciamento do P</w:t>
      </w:r>
      <w:r w:rsidR="00546069">
        <w:rPr>
          <w:lang w:eastAsia="pt-BR"/>
        </w:rPr>
        <w:t>lano de Benefícios para</w:t>
      </w:r>
      <w:r w:rsidR="00023F38" w:rsidRPr="007B1014">
        <w:rPr>
          <w:lang w:eastAsia="pt-BR"/>
        </w:rPr>
        <w:t xml:space="preserve"> PREVIG</w:t>
      </w:r>
      <w:r w:rsidR="00546069">
        <w:rPr>
          <w:lang w:eastAsia="pt-BR"/>
        </w:rPr>
        <w:t xml:space="preserve"> (anteriormente gerenciada pela Elos)</w:t>
      </w:r>
      <w:r w:rsidR="00023F38" w:rsidRPr="007B1014">
        <w:rPr>
          <w:lang w:eastAsia="pt-BR"/>
        </w:rPr>
        <w:t>.</w:t>
      </w:r>
    </w:p>
    <w:p w:rsidR="00A304B4" w:rsidRDefault="00023F38" w:rsidP="00FE7915">
      <w:pPr>
        <w:pStyle w:val="ABNT"/>
        <w:ind w:firstLine="709"/>
        <w:rPr>
          <w:lang w:eastAsia="pt-BR"/>
        </w:rPr>
      </w:pPr>
      <w:r w:rsidRPr="00023F38">
        <w:rPr>
          <w:lang w:eastAsia="pt-BR"/>
        </w:rPr>
        <w:t>A</w:t>
      </w:r>
      <w:r w:rsidR="00A304B4" w:rsidRPr="00023F38">
        <w:rPr>
          <w:lang w:eastAsia="pt-BR"/>
        </w:rPr>
        <w:t xml:space="preserve"> PREVIG é uma Entidade Fech</w:t>
      </w:r>
      <w:r w:rsidR="00807DA1">
        <w:rPr>
          <w:lang w:eastAsia="pt-BR"/>
        </w:rPr>
        <w:t>ada de Previdência Complementar</w:t>
      </w:r>
      <w:r w:rsidR="00A304B4" w:rsidRPr="00023F38">
        <w:rPr>
          <w:lang w:eastAsia="pt-BR"/>
        </w:rPr>
        <w:t xml:space="preserve"> de fins não lucrativos, dotada de autono</w:t>
      </w:r>
      <w:r w:rsidR="00632310">
        <w:rPr>
          <w:lang w:eastAsia="pt-BR"/>
        </w:rPr>
        <w:t>mia administrativa e financeira, cujos planos de benefícios que administra a seus patrocinadores são: Plano d</w:t>
      </w:r>
      <w:r w:rsidR="00A304B4" w:rsidRPr="007B1014">
        <w:rPr>
          <w:bCs/>
          <w:lang w:eastAsia="pt-BR"/>
        </w:rPr>
        <w:t xml:space="preserve">e </w:t>
      </w:r>
      <w:r w:rsidR="00524A68" w:rsidRPr="00DA10D6">
        <w:t>Benefício</w:t>
      </w:r>
      <w:r w:rsidR="00524A68">
        <w:rPr>
          <w:bCs/>
          <w:lang w:eastAsia="pt-BR"/>
        </w:rPr>
        <w:t xml:space="preserve"> por</w:t>
      </w:r>
      <w:r w:rsidR="00A304B4" w:rsidRPr="007B1014">
        <w:rPr>
          <w:bCs/>
          <w:lang w:eastAsia="pt-BR"/>
        </w:rPr>
        <w:t xml:space="preserve"> Contribuição Definida (CD)</w:t>
      </w:r>
      <w:r w:rsidR="00632310">
        <w:rPr>
          <w:bCs/>
          <w:lang w:eastAsia="pt-BR"/>
        </w:rPr>
        <w:t xml:space="preserve"> – </w:t>
      </w:r>
      <w:hyperlink r:id="rId8" w:tgtFrame="_black" w:history="1">
        <w:r w:rsidR="00A304B4" w:rsidRPr="007B1014">
          <w:rPr>
            <w:lang w:eastAsia="pt-BR"/>
          </w:rPr>
          <w:t>Tractebel Energia S.A. (patrocinadora instituidora)</w:t>
        </w:r>
      </w:hyperlink>
      <w:r w:rsidR="00632310">
        <w:rPr>
          <w:lang w:eastAsia="pt-BR"/>
        </w:rPr>
        <w:t xml:space="preserve">, </w:t>
      </w:r>
      <w:r w:rsidR="00A304B4" w:rsidRPr="007B1014">
        <w:rPr>
          <w:lang w:eastAsia="pt-BR"/>
        </w:rPr>
        <w:t>IPR</w:t>
      </w:r>
      <w:r w:rsidR="00632310">
        <w:rPr>
          <w:lang w:eastAsia="pt-BR"/>
        </w:rPr>
        <w:t xml:space="preserve"> - GDF SUEZ Energy Brasil Ltda., </w:t>
      </w:r>
      <w:r w:rsidR="00A304B4" w:rsidRPr="007B1014">
        <w:rPr>
          <w:lang w:eastAsia="pt-BR"/>
        </w:rPr>
        <w:t>IPR - GDF SUEZ Energy La</w:t>
      </w:r>
      <w:r w:rsidR="00632310">
        <w:rPr>
          <w:lang w:eastAsia="pt-BR"/>
        </w:rPr>
        <w:t xml:space="preserve">tin America Participações Ltda., </w:t>
      </w:r>
      <w:hyperlink r:id="rId9" w:tgtFrame="_black" w:history="1">
        <w:r w:rsidR="00A304B4" w:rsidRPr="007B1014">
          <w:rPr>
            <w:lang w:eastAsia="pt-BR"/>
          </w:rPr>
          <w:t>LEME Engenharia Ltda.</w:t>
        </w:r>
      </w:hyperlink>
      <w:r w:rsidR="00632310">
        <w:rPr>
          <w:lang w:eastAsia="pt-BR"/>
        </w:rPr>
        <w:t xml:space="preserve">, </w:t>
      </w:r>
      <w:r w:rsidR="00A304B4" w:rsidRPr="007B1014">
        <w:rPr>
          <w:lang w:eastAsia="pt-BR"/>
        </w:rPr>
        <w:t>ELOSAÚDE - As</w:t>
      </w:r>
      <w:r w:rsidR="00632310">
        <w:rPr>
          <w:lang w:eastAsia="pt-BR"/>
        </w:rPr>
        <w:t xml:space="preserve">sociação de Assistência à Saúde, </w:t>
      </w:r>
      <w:r w:rsidR="00A304B4" w:rsidRPr="007B1014">
        <w:rPr>
          <w:lang w:eastAsia="pt-BR"/>
        </w:rPr>
        <w:t>Ene</w:t>
      </w:r>
      <w:r w:rsidR="00632310">
        <w:rPr>
          <w:lang w:eastAsia="pt-BR"/>
        </w:rPr>
        <w:t xml:space="preserve">rgia Sustentável do Brasil S.A., e </w:t>
      </w:r>
      <w:r w:rsidR="00A304B4" w:rsidRPr="007B1014">
        <w:rPr>
          <w:lang w:eastAsia="pt-BR"/>
        </w:rPr>
        <w:t xml:space="preserve">PREVIG - Sociedade de Previdência Complementar </w:t>
      </w:r>
      <w:r w:rsidR="00632310">
        <w:rPr>
          <w:lang w:eastAsia="pt-BR"/>
        </w:rPr>
        <w:t xml:space="preserve">– e </w:t>
      </w:r>
      <w:r w:rsidR="00A304B4" w:rsidRPr="007B1014">
        <w:rPr>
          <w:bCs/>
          <w:lang w:eastAsia="pt-BR"/>
        </w:rPr>
        <w:t xml:space="preserve">Plano de Benefício </w:t>
      </w:r>
      <w:r w:rsidR="00632310">
        <w:rPr>
          <w:bCs/>
          <w:lang w:eastAsia="pt-BR"/>
        </w:rPr>
        <w:t>por</w:t>
      </w:r>
      <w:r w:rsidR="00A304B4" w:rsidRPr="007B1014">
        <w:rPr>
          <w:bCs/>
          <w:lang w:eastAsia="pt-BR"/>
        </w:rPr>
        <w:t xml:space="preserve"> Benefícios Definidos (BD)</w:t>
      </w:r>
      <w:r w:rsidR="00632310">
        <w:rPr>
          <w:lang w:eastAsia="pt-BR"/>
        </w:rPr>
        <w:t xml:space="preserve"> – </w:t>
      </w:r>
      <w:r w:rsidR="00A304B4" w:rsidRPr="007B1014">
        <w:rPr>
          <w:lang w:eastAsia="pt-BR"/>
        </w:rPr>
        <w:t>Tractebel Energia S.A. (patrocinadora instituidora)</w:t>
      </w:r>
      <w:r w:rsidR="00632310">
        <w:rPr>
          <w:lang w:eastAsia="pt-BR"/>
        </w:rPr>
        <w:t>.</w:t>
      </w:r>
    </w:p>
    <w:p w:rsidR="0061282A" w:rsidRPr="007B1014" w:rsidRDefault="0061282A" w:rsidP="0061282A">
      <w:pPr>
        <w:pStyle w:val="ABNT"/>
        <w:spacing w:line="276" w:lineRule="auto"/>
        <w:rPr>
          <w:rFonts w:eastAsia="Times New Roman"/>
          <w:lang w:eastAsia="pt-BR"/>
        </w:rPr>
      </w:pPr>
    </w:p>
    <w:p w:rsidR="00A304B4" w:rsidRDefault="00A304B4" w:rsidP="00632310">
      <w:pPr>
        <w:pStyle w:val="HeadlineABNT"/>
        <w:numPr>
          <w:ilvl w:val="0"/>
          <w:numId w:val="3"/>
        </w:numPr>
        <w:ind w:left="360"/>
        <w:rPr>
          <w:rFonts w:eastAsia="Times New Roman"/>
          <w:lang w:val="pt-BR" w:eastAsia="pt-BR"/>
        </w:rPr>
      </w:pPr>
      <w:bookmarkStart w:id="23" w:name="_Toc338973041"/>
      <w:bookmarkStart w:id="24" w:name="_Toc338973068"/>
      <w:bookmarkStart w:id="25" w:name="_Toc338973118"/>
      <w:bookmarkStart w:id="26" w:name="_Toc339406850"/>
      <w:r w:rsidRPr="007B1014">
        <w:rPr>
          <w:rFonts w:eastAsia="Times New Roman"/>
          <w:lang w:val="pt-BR" w:eastAsia="pt-BR"/>
        </w:rPr>
        <w:t>MODALIDADES DE PLANO (BD, CD)</w:t>
      </w:r>
      <w:bookmarkEnd w:id="23"/>
      <w:bookmarkEnd w:id="24"/>
      <w:bookmarkEnd w:id="25"/>
      <w:bookmarkEnd w:id="26"/>
    </w:p>
    <w:p w:rsidR="00A304B4" w:rsidRPr="007B1014" w:rsidRDefault="00A304B4" w:rsidP="00632310">
      <w:pPr>
        <w:pStyle w:val="SemEspaamento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</w:pPr>
    </w:p>
    <w:p w:rsidR="00A304B4" w:rsidRDefault="00A304B4" w:rsidP="00FE7915">
      <w:pPr>
        <w:pStyle w:val="SemEspaamento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</w:pP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  <w:t>As modalidades dos planos de benefícios são caracterizadas em função da forma em que estão estruturadas as fases de capitalização dos recursos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  <w:t xml:space="preserve"> e de recebimento do benefício e d</w:t>
      </w: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  <w:t xml:space="preserve">o conhecimento do valor do benefício a ser recebido pelo participante. </w:t>
      </w:r>
    </w:p>
    <w:p w:rsidR="00A304B4" w:rsidRPr="007B1014" w:rsidRDefault="00A304B4" w:rsidP="00FE7915">
      <w:pPr>
        <w:pStyle w:val="SemEspaamento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</w:pP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  <w:t>Nos planos BD, o participante possui o conhecimento prévio do valor do benefício a ser concedido quando completadas as elegibilidades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  <w:t>, sendo um ponto confortável ao seu participante</w:t>
      </w: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  <w:lastRenderedPageBreak/>
        <w:t>E</w:t>
      </w: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  <w:t xml:space="preserve">xtremamente sensível às variáveis atuariais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  <w:t>que se</w:t>
      </w: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  <w:t xml:space="preserve"> submet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  <w:t>e</w:t>
      </w: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  <w:t xml:space="preserve"> (crescimento salarial, taxa de juros, dentre outras),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  <w:t xml:space="preserve">esse plano deve apresentar </w:t>
      </w: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  <w:t>acompanhamento periódico através da el</w:t>
      </w:r>
      <w:r w:rsidR="00807DA1"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  <w:t xml:space="preserve">aboração da avaliação atuarial. </w:t>
      </w:r>
      <w:r w:rsidR="00524A68"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  <w:t>O</w:t>
      </w:r>
      <w:r w:rsidR="00524A68"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  <w:t>s pla</w:t>
      </w:r>
      <w:r w:rsidR="00524A68"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  <w:t xml:space="preserve">nos CD, por sua vez, </w:t>
      </w:r>
      <w:r w:rsidR="00524A68"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  <w:t xml:space="preserve">têm como principal característica a </w:t>
      </w:r>
      <w:r w:rsidR="00524A68"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  <w:t xml:space="preserve">estruturalização de contas individuais na </w:t>
      </w:r>
      <w:r w:rsidR="00524A68"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  <w:t>fase de capitalização</w:t>
      </w:r>
      <w:r w:rsidR="00524A68"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  <w:t xml:space="preserve">, </w:t>
      </w:r>
      <w:r w:rsidR="00524A68"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  <w:t>ou seja, cada participanteé responsável pela formação da sua reserva que servirá em um segundo momento para o custeio do benefício de aposentadoria.</w:t>
      </w: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 w:eastAsia="pt-BR"/>
        </w:rPr>
        <w:t xml:space="preserve"> Desta forma, um diferencial deste tipo de plano é uma excelente rentabilidade, tanto na fase de acumulação como na fase de recebimento dos benefícios, uma vez que o valor do benefício depende muito de como se dará o comportamento dos investimentos ao longo da fase de capitalização, bem como do valor das contribuições e dos aportes efetuados pelo participante.  No que se refere à fase de concessão nos planos CD, o participante terá que optar por uma das formas de recebimento do benefício existentes, uma vez elegível ao mesmo.</w:t>
      </w:r>
    </w:p>
    <w:p w:rsidR="00A304B4" w:rsidRDefault="00A304B4" w:rsidP="00FE7915">
      <w:pPr>
        <w:pStyle w:val="SemEspaamento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 PREVIG segurará, nos</w:t>
      </w:r>
      <w:r w:rsidR="00807DA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termos e condições previstos no</w:t>
      </w: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Regulamento, os </w:t>
      </w:r>
      <w:r w:rsidR="00807DA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seguintes b</w:t>
      </w: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enefícios</w:t>
      </w:r>
      <w:r w:rsidR="00807DA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:aposentadoria suplementar, a</w:t>
      </w: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uxílio-</w:t>
      </w:r>
      <w:r w:rsidR="00807DA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doença, aposentadoria suplementar por invalidez, pensão por morte, benefício proporcional e abono anual</w:t>
      </w:r>
      <w:r w:rsidR="00807DA1" w:rsidRPr="00807DA1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. </w:t>
      </w:r>
    </w:p>
    <w:p w:rsidR="00807DA1" w:rsidRDefault="00807DA1" w:rsidP="00807DA1">
      <w:pPr>
        <w:pStyle w:val="SemEspaamento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sectPr w:rsidR="00807DA1" w:rsidSect="0028448D">
          <w:headerReference w:type="default" r:id="rId10"/>
          <w:type w:val="continuous"/>
          <w:pgSz w:w="12240" w:h="15840"/>
          <w:pgMar w:top="1699" w:right="1138" w:bottom="1138" w:left="1699" w:header="720" w:footer="720" w:gutter="0"/>
          <w:cols w:space="720"/>
          <w:docGrid w:linePitch="360"/>
        </w:sectPr>
      </w:pPr>
    </w:p>
    <w:p w:rsidR="00807DA1" w:rsidRPr="00807DA1" w:rsidRDefault="00807DA1" w:rsidP="00807DA1">
      <w:pPr>
        <w:pStyle w:val="SemEspaamento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</w:p>
    <w:p w:rsidR="00A304B4" w:rsidRDefault="00E507E9" w:rsidP="00E507E9">
      <w:pPr>
        <w:pStyle w:val="HeadlineABNT"/>
        <w:numPr>
          <w:ilvl w:val="0"/>
          <w:numId w:val="3"/>
        </w:numPr>
        <w:ind w:left="360"/>
        <w:rPr>
          <w:rFonts w:eastAsia="Times New Roman"/>
          <w:lang w:val="pt-BR" w:eastAsia="pt-BR"/>
        </w:rPr>
      </w:pPr>
      <w:bookmarkStart w:id="27" w:name="_Toc338973042"/>
      <w:bookmarkStart w:id="28" w:name="_Toc338973069"/>
      <w:bookmarkStart w:id="29" w:name="_Toc338973119"/>
      <w:bookmarkStart w:id="30" w:name="_Toc339406851"/>
      <w:r>
        <w:rPr>
          <w:rFonts w:eastAsia="Times New Roman"/>
          <w:lang w:val="pt-BR" w:eastAsia="pt-BR"/>
        </w:rPr>
        <w:t>ANÁ</w:t>
      </w:r>
      <w:r w:rsidR="00A304B4" w:rsidRPr="007B1014">
        <w:rPr>
          <w:rFonts w:eastAsia="Times New Roman"/>
          <w:lang w:val="pt-BR" w:eastAsia="pt-BR"/>
        </w:rPr>
        <w:t>LISE DAS DEMONSTRAÇÕES</w:t>
      </w:r>
      <w:bookmarkEnd w:id="27"/>
      <w:bookmarkEnd w:id="28"/>
      <w:bookmarkEnd w:id="29"/>
      <w:bookmarkEnd w:id="30"/>
    </w:p>
    <w:p w:rsidR="00A304B4" w:rsidRPr="007B1014" w:rsidRDefault="00A304B4" w:rsidP="00E507E9">
      <w:pPr>
        <w:pStyle w:val="SemEspaamen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pt-BR" w:eastAsia="pt-BR"/>
        </w:rPr>
      </w:pPr>
    </w:p>
    <w:p w:rsidR="00A304B4" w:rsidRDefault="00A304B4" w:rsidP="00E507E9">
      <w:pPr>
        <w:pStyle w:val="SemEspaamento"/>
        <w:numPr>
          <w:ilvl w:val="1"/>
          <w:numId w:val="3"/>
        </w:numP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pt-BR" w:eastAsia="pt-BR"/>
        </w:rPr>
      </w:pPr>
      <w:r w:rsidRPr="007B101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pt-BR" w:eastAsia="pt-BR"/>
        </w:rPr>
        <w:t>Balanço Patrimonial Consolidado</w:t>
      </w:r>
    </w:p>
    <w:p w:rsidR="00A304B4" w:rsidRPr="007B1014" w:rsidRDefault="00A304B4" w:rsidP="00E507E9">
      <w:pPr>
        <w:pStyle w:val="SemEspaamento"/>
        <w:spacing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pt-BR" w:eastAsia="pt-BR"/>
        </w:rPr>
      </w:pPr>
    </w:p>
    <w:p w:rsidR="00A304B4" w:rsidRPr="007B1014" w:rsidRDefault="00A304B4" w:rsidP="00FE7915">
      <w:pPr>
        <w:pStyle w:val="ABNT"/>
        <w:ind w:firstLine="709"/>
        <w:rPr>
          <w:lang w:eastAsia="pt-BR"/>
        </w:rPr>
      </w:pPr>
      <w:r w:rsidRPr="007B1014">
        <w:rPr>
          <w:lang w:eastAsia="pt-BR"/>
        </w:rPr>
        <w:t xml:space="preserve">Apresenta características diferenciadas das empresas comerciais e industriais, sendo a principal a disposição dos grupos de contas patrimoniais. O Passivo representa as obrigações que a entidade tem com seus participantes </w:t>
      </w:r>
      <w:r w:rsidR="00656F5E">
        <w:rPr>
          <w:lang w:eastAsia="pt-BR"/>
        </w:rPr>
        <w:t>e terceiros, podendo os valores</w:t>
      </w:r>
      <w:r w:rsidRPr="007B1014">
        <w:rPr>
          <w:lang w:eastAsia="pt-BR"/>
        </w:rPr>
        <w:t xml:space="preserve"> encontrados na conta Exigível  Operacional composta por Gestão Previdêncial; Gestão Administrativa e Investimento.</w:t>
      </w:r>
    </w:p>
    <w:p w:rsidR="00A304B4" w:rsidRDefault="00A304B4" w:rsidP="008B5C55">
      <w:pPr>
        <w:pStyle w:val="SemEspaamento"/>
        <w:spacing w:line="360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</w:pPr>
    </w:p>
    <w:p w:rsidR="00A304B4" w:rsidRPr="00D22C4A" w:rsidRDefault="00A304B4" w:rsidP="00D22C4A">
      <w:pPr>
        <w:pStyle w:val="ABNT"/>
        <w:spacing w:line="240" w:lineRule="auto"/>
        <w:ind w:left="2250" w:firstLine="0"/>
        <w:rPr>
          <w:sz w:val="20"/>
          <w:lang w:eastAsia="pt-BR"/>
        </w:rPr>
      </w:pPr>
      <w:r w:rsidRPr="00D22C4A">
        <w:rPr>
          <w:sz w:val="20"/>
          <w:lang w:eastAsia="pt-BR"/>
        </w:rPr>
        <w:t>Gestão Previdêncial: são obrigações relativas à folha de pagamento de benefícios dos participantes em gozo de benefícios, tributos pertinentes, compromissos com terceiros e outros;</w:t>
      </w:r>
    </w:p>
    <w:p w:rsidR="00A304B4" w:rsidRPr="00D22C4A" w:rsidRDefault="00A304B4" w:rsidP="00D22C4A">
      <w:pPr>
        <w:pStyle w:val="ABNT"/>
        <w:spacing w:line="240" w:lineRule="auto"/>
        <w:ind w:left="2250" w:firstLine="0"/>
        <w:rPr>
          <w:sz w:val="20"/>
          <w:lang w:eastAsia="pt-BR"/>
        </w:rPr>
      </w:pPr>
      <w:r w:rsidRPr="00D22C4A">
        <w:rPr>
          <w:sz w:val="20"/>
          <w:lang w:eastAsia="pt-BR"/>
        </w:rPr>
        <w:t>Gestão Administrativa: são obrigações relativas à gestão administrativa, tais como folha de pagamento de empregados e seus encargos, dividas decorrentes da prest</w:t>
      </w:r>
      <w:r w:rsidR="0022754F">
        <w:rPr>
          <w:sz w:val="20"/>
          <w:lang w:eastAsia="pt-BR"/>
        </w:rPr>
        <w:t>ação de serviços nas áreas contá</w:t>
      </w:r>
      <w:r w:rsidRPr="00D22C4A">
        <w:rPr>
          <w:sz w:val="20"/>
          <w:lang w:eastAsia="pt-BR"/>
        </w:rPr>
        <w:t>bil, atuariais, financeiras, jurídicas, tributos e outro;</w:t>
      </w:r>
    </w:p>
    <w:p w:rsidR="00A304B4" w:rsidRPr="00D22C4A" w:rsidRDefault="00A304B4" w:rsidP="00D22C4A">
      <w:pPr>
        <w:pStyle w:val="ABNT"/>
        <w:spacing w:line="240" w:lineRule="auto"/>
        <w:ind w:left="2250" w:firstLine="0"/>
        <w:rPr>
          <w:sz w:val="20"/>
          <w:lang w:eastAsia="pt-BR"/>
        </w:rPr>
      </w:pPr>
      <w:r w:rsidRPr="00D22C4A">
        <w:rPr>
          <w:sz w:val="20"/>
          <w:lang w:eastAsia="pt-BR"/>
        </w:rPr>
        <w:t>Investimento: são obrigações relativas às aplicações de recursos, tais como taxas de corretagem, taxa de custodia, encargos bancários, tributos,liquidações de operação e outros. (APOSTILA DE CONTABILIDADE  DE ENTIDADE DE PRVIDENCIA PRIVADA E SEGURADORA, p. 8 – 9).</w:t>
      </w:r>
    </w:p>
    <w:p w:rsidR="00A304B4" w:rsidRDefault="00A304B4" w:rsidP="008B5C55">
      <w:pPr>
        <w:pStyle w:val="SemEspaamento"/>
        <w:spacing w:line="360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</w:pPr>
    </w:p>
    <w:p w:rsidR="00A304B4" w:rsidRDefault="00A304B4" w:rsidP="00FE7915">
      <w:pPr>
        <w:pStyle w:val="ABNT"/>
        <w:ind w:firstLine="709"/>
        <w:rPr>
          <w:lang w:eastAsia="pt-BR"/>
        </w:rPr>
      </w:pPr>
      <w:r w:rsidRPr="007B1014">
        <w:rPr>
          <w:lang w:eastAsia="pt-BR"/>
        </w:rPr>
        <w:t>No Balanço da PREVIG encontra-se o saldo do Exigível Operacional como valor de  R$</w:t>
      </w:r>
      <w:r>
        <w:rPr>
          <w:lang w:eastAsia="pt-BR"/>
        </w:rPr>
        <w:t>2.162 (em milhares de reais)</w:t>
      </w:r>
      <w:r w:rsidRPr="007B1014">
        <w:rPr>
          <w:lang w:eastAsia="pt-BR"/>
        </w:rPr>
        <w:t xml:space="preserve">. O Passivo ainda é composto por Patrimônio Social que </w:t>
      </w:r>
      <w:r w:rsidRPr="007B1014">
        <w:rPr>
          <w:lang w:eastAsia="pt-BR"/>
        </w:rPr>
        <w:lastRenderedPageBreak/>
        <w:t>representa a cobertura do plano, integra</w:t>
      </w:r>
      <w:r w:rsidR="00656F5E">
        <w:rPr>
          <w:lang w:eastAsia="pt-BR"/>
        </w:rPr>
        <w:t>do por</w:t>
      </w:r>
      <w:r w:rsidRPr="007B1014">
        <w:rPr>
          <w:lang w:eastAsia="pt-BR"/>
        </w:rPr>
        <w:t xml:space="preserve"> Provisões matemáticas</w:t>
      </w:r>
      <w:r w:rsidR="00656F5E">
        <w:rPr>
          <w:lang w:eastAsia="pt-BR"/>
        </w:rPr>
        <w:t xml:space="preserve"> (</w:t>
      </w:r>
      <w:r w:rsidR="00656F5E" w:rsidRPr="007B1014">
        <w:rPr>
          <w:lang w:eastAsia="pt-BR"/>
        </w:rPr>
        <w:t xml:space="preserve">saldo deR$ 665.446 </w:t>
      </w:r>
      <w:r w:rsidR="00656F5E">
        <w:rPr>
          <w:lang w:eastAsia="pt-BR"/>
        </w:rPr>
        <w:t>(e</w:t>
      </w:r>
      <w:r w:rsidR="00656F5E" w:rsidRPr="007B1014">
        <w:rPr>
          <w:lang w:eastAsia="pt-BR"/>
        </w:rPr>
        <w:t>m milhares de reais)</w:t>
      </w:r>
      <w:r w:rsidRPr="007B1014">
        <w:rPr>
          <w:lang w:eastAsia="pt-BR"/>
        </w:rPr>
        <w:t xml:space="preserve"> que apresenta</w:t>
      </w:r>
      <w:r w:rsidR="00656F5E">
        <w:rPr>
          <w:lang w:eastAsia="pt-BR"/>
        </w:rPr>
        <w:t xml:space="preserve">m </w:t>
      </w:r>
      <w:r w:rsidRPr="007B1014">
        <w:rPr>
          <w:lang w:eastAsia="pt-BR"/>
        </w:rPr>
        <w:t xml:space="preserve">valores </w:t>
      </w:r>
      <w:r w:rsidR="0022754F" w:rsidRPr="007B1014">
        <w:rPr>
          <w:lang w:eastAsia="pt-BR"/>
        </w:rPr>
        <w:t>que</w:t>
      </w:r>
      <w:r w:rsidR="0022754F">
        <w:rPr>
          <w:lang w:eastAsia="pt-BR"/>
        </w:rPr>
        <w:t xml:space="preserve"> compromissados</w:t>
      </w:r>
      <w:r w:rsidRPr="007B1014">
        <w:rPr>
          <w:lang w:eastAsia="pt-BR"/>
        </w:rPr>
        <w:t xml:space="preserve">com participantes,assistidos e beneficiários. </w:t>
      </w:r>
    </w:p>
    <w:p w:rsidR="00110D2A" w:rsidRPr="007B1014" w:rsidRDefault="00110D2A" w:rsidP="00110D2A">
      <w:pPr>
        <w:pStyle w:val="SemEspaamento"/>
        <w:spacing w:line="276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</w:pPr>
    </w:p>
    <w:p w:rsidR="00A304B4" w:rsidRDefault="00A304B4" w:rsidP="00145BCB">
      <w:pPr>
        <w:pStyle w:val="HeadlineABNT"/>
        <w:numPr>
          <w:ilvl w:val="1"/>
          <w:numId w:val="3"/>
        </w:numPr>
        <w:ind w:left="360"/>
        <w:rPr>
          <w:lang w:val="pt-BR"/>
        </w:rPr>
      </w:pPr>
      <w:bookmarkStart w:id="31" w:name="_Toc338973043"/>
      <w:bookmarkStart w:id="32" w:name="_Toc338973070"/>
      <w:bookmarkStart w:id="33" w:name="_Toc338973120"/>
      <w:bookmarkStart w:id="34" w:name="_Toc339406852"/>
      <w:r w:rsidRPr="007B1014">
        <w:rPr>
          <w:lang w:val="pt-BR"/>
        </w:rPr>
        <w:t>Demonstração Do Ativo Líquido Por Plano De Benefícios- DAL</w:t>
      </w:r>
      <w:bookmarkEnd w:id="31"/>
      <w:bookmarkEnd w:id="32"/>
      <w:bookmarkEnd w:id="33"/>
      <w:bookmarkEnd w:id="34"/>
    </w:p>
    <w:p w:rsidR="00A304B4" w:rsidRPr="007B1014" w:rsidRDefault="00A304B4" w:rsidP="00145BCB">
      <w:pPr>
        <w:pStyle w:val="ABNT"/>
        <w:spacing w:line="276" w:lineRule="auto"/>
      </w:pPr>
    </w:p>
    <w:p w:rsidR="00A304B4" w:rsidRDefault="00A304B4" w:rsidP="00FE7915">
      <w:pPr>
        <w:pStyle w:val="ABNT"/>
        <w:ind w:firstLine="709"/>
      </w:pPr>
      <w:r w:rsidRPr="007B1014">
        <w:t>Essa demonstração apresent</w:t>
      </w:r>
      <w:r>
        <w:t>a o saldo do ativo lí</w:t>
      </w:r>
      <w:r w:rsidRPr="007B1014">
        <w:t>quido disponível para a cobertura dos passivos do plano</w:t>
      </w:r>
      <w:r w:rsidR="00145BCB">
        <w:t xml:space="preserve">, </w:t>
      </w:r>
      <w:r w:rsidRPr="007B1014">
        <w:t>representado pela seguinte equação:</w:t>
      </w:r>
    </w:p>
    <w:p w:rsidR="00145BCB" w:rsidRPr="00145BCB" w:rsidRDefault="00145BCB" w:rsidP="00145BCB">
      <w:pPr>
        <w:pStyle w:val="ABNT"/>
        <w:ind w:firstLine="0"/>
        <w:rPr>
          <w:i/>
        </w:rPr>
      </w:pPr>
      <w:r w:rsidRPr="00145BCB">
        <w:rPr>
          <w:i/>
        </w:rPr>
        <w:t>Ativo Líquido = ativo total – exigível operacional – exigível contingencial – operação transitório</w:t>
      </w:r>
    </w:p>
    <w:p w:rsidR="00A304B4" w:rsidRDefault="00A304B4" w:rsidP="00145BCB">
      <w:pPr>
        <w:pStyle w:val="SemEspaamento"/>
        <w:spacing w:line="276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pt-BR"/>
        </w:rPr>
      </w:pPr>
    </w:p>
    <w:p w:rsidR="00A304B4" w:rsidRPr="00145BCB" w:rsidRDefault="00A304B4" w:rsidP="00145BCB">
      <w:pPr>
        <w:pStyle w:val="HeadlineABNT"/>
        <w:numPr>
          <w:ilvl w:val="2"/>
          <w:numId w:val="3"/>
        </w:numPr>
        <w:ind w:left="630"/>
        <w:rPr>
          <w:i/>
          <w:lang w:val="pt-BR"/>
        </w:rPr>
      </w:pPr>
      <w:bookmarkStart w:id="35" w:name="_Toc338973044"/>
      <w:bookmarkStart w:id="36" w:name="_Toc338973071"/>
      <w:bookmarkStart w:id="37" w:name="_Toc338973121"/>
      <w:bookmarkStart w:id="38" w:name="_Toc339406853"/>
      <w:r w:rsidRPr="00145BCB">
        <w:rPr>
          <w:i/>
          <w:lang w:val="pt-BR"/>
        </w:rPr>
        <w:t>Plano BD</w:t>
      </w:r>
      <w:bookmarkEnd w:id="35"/>
      <w:bookmarkEnd w:id="36"/>
      <w:bookmarkEnd w:id="37"/>
      <w:bookmarkEnd w:id="38"/>
    </w:p>
    <w:p w:rsidR="00A304B4" w:rsidRPr="007B1014" w:rsidRDefault="00A304B4" w:rsidP="00145BCB">
      <w:pPr>
        <w:pStyle w:val="SemEspaamento"/>
        <w:spacing w:line="276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pt-BR"/>
        </w:rPr>
      </w:pPr>
    </w:p>
    <w:p w:rsidR="00A304B4" w:rsidRPr="007B1014" w:rsidRDefault="00A304B4" w:rsidP="00FE7915">
      <w:pPr>
        <w:pStyle w:val="SemEspaamento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</w:pP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Ao analisar esse demonstrativo verifica-se que o saldo de obrigações na conta Provisões Matemáticas é de R$240.023 </w:t>
      </w:r>
      <w:r w:rsidRPr="007B1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  <w:t>(Em milhares de reais)</w:t>
      </w: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dividido em Benefícios a concede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r no valor de R$</w:t>
      </w: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9.369 </w:t>
      </w:r>
      <w:r w:rsidRPr="007B1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  <w:t>(Em milhares de reais</w:t>
      </w:r>
      <w:r w:rsidR="0022754F" w:rsidRPr="007B1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  <w:t>)</w:t>
      </w:r>
      <w:r w:rsidR="0022754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e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Benefício concedidos no valor de R$</w:t>
      </w: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230.659 </w:t>
      </w:r>
      <w:r w:rsidRPr="007B1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  <w:t>(Em milhares de reais).</w:t>
      </w: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Pode-se averiguar também que foi realiz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ado investimento no valor de R$</w:t>
      </w: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220.105 </w:t>
      </w:r>
      <w:r w:rsidRPr="007B1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  <w:t>(Em milhares de reais)</w:t>
      </w: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sen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do aplicados em Título Pú</w:t>
      </w: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blico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por</w:t>
      </w: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R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$</w:t>
      </w: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195.344 </w:t>
      </w:r>
      <w:r w:rsidRPr="007B1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  <w:t>(Em milhares de reais)</w:t>
      </w: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; </w:t>
      </w:r>
      <w:r w:rsidR="0022754F"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Créditos</w:t>
      </w: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Privados e Depósitos R$3.974 </w:t>
      </w:r>
      <w:r w:rsidRPr="007B1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  <w:t>(Em milhares de reais)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; Fundos de Investimento R$</w:t>
      </w: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14.962 </w:t>
      </w:r>
      <w:r w:rsidRPr="007B1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  <w:t>(Em milhares de reais)</w:t>
      </w: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; Empréstimos R$4.529 </w:t>
      </w:r>
      <w:r w:rsidRPr="007B1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  <w:t xml:space="preserve">(Em milhares de reais) </w:t>
      </w:r>
      <w:r w:rsidRPr="007B101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e Depósitos Judiciais R$1.296 </w:t>
      </w:r>
      <w:r w:rsidRPr="007B1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  <w:t>(Em milhares de reais)</w:t>
      </w:r>
    </w:p>
    <w:p w:rsidR="00A304B4" w:rsidRPr="007B1014" w:rsidRDefault="00A304B4" w:rsidP="00734BEB">
      <w:pPr>
        <w:pStyle w:val="SemEspaamento"/>
        <w:spacing w:line="276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</w:pPr>
    </w:p>
    <w:p w:rsidR="00A304B4" w:rsidRPr="00145BCB" w:rsidRDefault="00A304B4" w:rsidP="00145BCB">
      <w:pPr>
        <w:pStyle w:val="HeadlineABNT"/>
        <w:numPr>
          <w:ilvl w:val="2"/>
          <w:numId w:val="3"/>
        </w:numPr>
        <w:ind w:left="630" w:hanging="630"/>
        <w:rPr>
          <w:i/>
          <w:lang w:val="pt-BR"/>
        </w:rPr>
      </w:pPr>
      <w:bookmarkStart w:id="39" w:name="_Toc338973045"/>
      <w:bookmarkStart w:id="40" w:name="_Toc338973072"/>
      <w:bookmarkStart w:id="41" w:name="_Toc338973122"/>
      <w:bookmarkStart w:id="42" w:name="_Toc339406854"/>
      <w:r w:rsidRPr="00145BCB">
        <w:rPr>
          <w:i/>
          <w:lang w:val="pt-BR"/>
        </w:rPr>
        <w:t>Plano CD</w:t>
      </w:r>
      <w:bookmarkEnd w:id="39"/>
      <w:bookmarkEnd w:id="40"/>
      <w:bookmarkEnd w:id="41"/>
      <w:bookmarkEnd w:id="42"/>
    </w:p>
    <w:p w:rsidR="00A304B4" w:rsidRPr="007B1014" w:rsidRDefault="00A304B4" w:rsidP="00734BEB">
      <w:pPr>
        <w:pStyle w:val="SemEspaamento"/>
        <w:spacing w:line="276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pt-BR"/>
        </w:rPr>
      </w:pPr>
    </w:p>
    <w:p w:rsidR="00A304B4" w:rsidRPr="007B1014" w:rsidRDefault="00A304B4" w:rsidP="00FE7915">
      <w:pPr>
        <w:pStyle w:val="ABNT"/>
        <w:ind w:firstLine="709"/>
        <w:rPr>
          <w:rFonts w:eastAsia="Times New Roman"/>
          <w:lang w:eastAsia="pt-BR"/>
        </w:rPr>
      </w:pPr>
      <w:r w:rsidRPr="007B1014">
        <w:t>Apresenta o saldo de obrigações em Benefícios a Conceder no valor de R$</w:t>
      </w:r>
      <w:r w:rsidRPr="007B1014">
        <w:rPr>
          <w:bCs/>
        </w:rPr>
        <w:t xml:space="preserve">340.674 </w:t>
      </w:r>
      <w:r w:rsidRPr="007B1014">
        <w:rPr>
          <w:rFonts w:eastAsia="Times New Roman"/>
          <w:lang w:eastAsia="pt-BR"/>
        </w:rPr>
        <w:t>(Em milhares de reais)</w:t>
      </w:r>
      <w:r w:rsidRPr="007B1014">
        <w:rPr>
          <w:bCs/>
        </w:rPr>
        <w:t xml:space="preserve"> e Benefícios Concedidos no valor de R$84.729 </w:t>
      </w:r>
      <w:r w:rsidRPr="007B1014">
        <w:rPr>
          <w:rFonts w:eastAsia="Times New Roman"/>
          <w:lang w:eastAsia="pt-BR"/>
        </w:rPr>
        <w:t>(Em milhares de reais)</w:t>
      </w:r>
      <w:r w:rsidRPr="007B1014">
        <w:rPr>
          <w:bCs/>
        </w:rPr>
        <w:t xml:space="preserve"> totalizando a conta Provisões Matemáticas com o saldo de R$425.403 </w:t>
      </w:r>
      <w:r w:rsidRPr="007B1014">
        <w:rPr>
          <w:rFonts w:eastAsia="Times New Roman"/>
          <w:lang w:eastAsia="pt-BR"/>
        </w:rPr>
        <w:t xml:space="preserve">(Em milhares de reais). </w:t>
      </w:r>
      <w:r w:rsidRPr="007B1014">
        <w:rPr>
          <w:bCs/>
        </w:rPr>
        <w:t>Os investimentos realizados nessa modalidade são no valor de R$</w:t>
      </w:r>
      <w:r w:rsidRPr="007B1014">
        <w:t xml:space="preserve">431.215 </w:t>
      </w:r>
      <w:r w:rsidRPr="007B1014">
        <w:rPr>
          <w:rFonts w:eastAsia="Times New Roman"/>
          <w:lang w:eastAsia="pt-BR"/>
        </w:rPr>
        <w:t>(Em milhares de reais)</w:t>
      </w:r>
      <w:r w:rsidRPr="007B1014">
        <w:t xml:space="preserve"> aplicados em Títulos Públicos R$37.513 </w:t>
      </w:r>
      <w:r w:rsidRPr="007B1014">
        <w:rPr>
          <w:rFonts w:eastAsia="Times New Roman"/>
          <w:lang w:eastAsia="pt-BR"/>
        </w:rPr>
        <w:t>(Em milhares de reais)</w:t>
      </w:r>
      <w:r w:rsidRPr="007B1014">
        <w:t xml:space="preserve">; </w:t>
      </w:r>
      <w:r w:rsidR="0022754F" w:rsidRPr="007B1014">
        <w:t>C</w:t>
      </w:r>
      <w:r w:rsidR="0022754F">
        <w:t>réditos</w:t>
      </w:r>
      <w:r w:rsidR="00F721C0">
        <w:t xml:space="preserve"> Privados e Depósitos R$</w:t>
      </w:r>
      <w:r w:rsidRPr="007B1014">
        <w:t xml:space="preserve">70.166 </w:t>
      </w:r>
      <w:r w:rsidRPr="007B1014">
        <w:rPr>
          <w:rFonts w:eastAsia="Times New Roman"/>
          <w:lang w:eastAsia="pt-BR"/>
        </w:rPr>
        <w:t>(Em milhares de reais)</w:t>
      </w:r>
      <w:r>
        <w:t>; Fundos de Investimentos R$</w:t>
      </w:r>
      <w:r w:rsidRPr="007B1014">
        <w:t xml:space="preserve">309.757 </w:t>
      </w:r>
      <w:r w:rsidRPr="007B1014">
        <w:rPr>
          <w:rFonts w:eastAsia="Times New Roman"/>
          <w:lang w:eastAsia="pt-BR"/>
        </w:rPr>
        <w:t>(Em milhares de reais)</w:t>
      </w:r>
      <w:r w:rsidRPr="007B1014">
        <w:t xml:space="preserve"> e Empréstimos R$13.779 </w:t>
      </w:r>
      <w:r w:rsidRPr="007B1014">
        <w:rPr>
          <w:rFonts w:eastAsia="Times New Roman"/>
          <w:lang w:eastAsia="pt-BR"/>
        </w:rPr>
        <w:t>(Em milhares de reais).</w:t>
      </w:r>
    </w:p>
    <w:p w:rsidR="00A304B4" w:rsidRDefault="00A304B4" w:rsidP="00A304B4">
      <w:pPr>
        <w:pStyle w:val="SemEspaamento"/>
        <w:spacing w:line="360" w:lineRule="auto"/>
        <w:ind w:firstLine="85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pt-BR" w:eastAsia="pt-BR"/>
        </w:rPr>
      </w:pPr>
    </w:p>
    <w:p w:rsidR="00734BEB" w:rsidRPr="007B1014" w:rsidRDefault="00734BEB" w:rsidP="00A304B4">
      <w:pPr>
        <w:pStyle w:val="SemEspaamento"/>
        <w:spacing w:line="360" w:lineRule="auto"/>
        <w:ind w:firstLine="85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pt-BR" w:eastAsia="pt-BR"/>
        </w:rPr>
      </w:pPr>
    </w:p>
    <w:p w:rsidR="00A304B4" w:rsidRDefault="00A304B4" w:rsidP="00114A80">
      <w:pPr>
        <w:pStyle w:val="HeadlineABNT"/>
        <w:numPr>
          <w:ilvl w:val="0"/>
          <w:numId w:val="3"/>
        </w:numPr>
        <w:spacing w:line="360" w:lineRule="auto"/>
        <w:ind w:left="360"/>
        <w:rPr>
          <w:rFonts w:eastAsia="Times New Roman"/>
          <w:lang w:val="pt-BR" w:eastAsia="pt-BR"/>
        </w:rPr>
      </w:pPr>
      <w:bookmarkStart w:id="43" w:name="_Toc338973046"/>
      <w:bookmarkStart w:id="44" w:name="_Toc338973073"/>
      <w:bookmarkStart w:id="45" w:name="_Toc338973123"/>
      <w:bookmarkStart w:id="46" w:name="_Toc339406855"/>
      <w:r w:rsidRPr="007B1014">
        <w:rPr>
          <w:rFonts w:eastAsia="Times New Roman"/>
          <w:lang w:val="pt-BR" w:eastAsia="pt-BR"/>
        </w:rPr>
        <w:lastRenderedPageBreak/>
        <w:t xml:space="preserve">DEMONSTRAÇÕES DA MUTAÇÃO DO ATIVO LÍQUIDO POR PLANO DE BENEFÍCIOS </w:t>
      </w:r>
      <w:r>
        <w:rPr>
          <w:rFonts w:eastAsia="Times New Roman"/>
          <w:lang w:val="pt-BR" w:eastAsia="pt-BR"/>
        </w:rPr>
        <w:t>–</w:t>
      </w:r>
      <w:r w:rsidRPr="007B1014">
        <w:rPr>
          <w:rFonts w:eastAsia="Times New Roman"/>
          <w:lang w:val="pt-BR" w:eastAsia="pt-BR"/>
        </w:rPr>
        <w:t xml:space="preserve"> DMAL</w:t>
      </w:r>
      <w:bookmarkEnd w:id="43"/>
      <w:bookmarkEnd w:id="44"/>
      <w:bookmarkEnd w:id="45"/>
      <w:bookmarkEnd w:id="46"/>
    </w:p>
    <w:p w:rsidR="00A304B4" w:rsidRPr="007B1014" w:rsidRDefault="00A304B4" w:rsidP="00A304B4">
      <w:pPr>
        <w:pStyle w:val="SemEspaamento"/>
        <w:spacing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pt-BR" w:eastAsia="pt-BR"/>
        </w:rPr>
      </w:pPr>
    </w:p>
    <w:p w:rsidR="00A304B4" w:rsidRPr="007B1014" w:rsidRDefault="00A304B4" w:rsidP="00114A80">
      <w:pPr>
        <w:pStyle w:val="ABNT"/>
        <w:rPr>
          <w:lang w:eastAsia="pt-BR"/>
        </w:rPr>
      </w:pPr>
      <w:r w:rsidRPr="007B1014">
        <w:rPr>
          <w:lang w:eastAsia="pt-BR"/>
        </w:rPr>
        <w:t>Demonstrativo estabelecido na letra “B” do item 35 da Norma Internacional de Contabilidade nº</w:t>
      </w:r>
      <w:r w:rsidR="00114A80">
        <w:rPr>
          <w:lang w:eastAsia="pt-BR"/>
        </w:rPr>
        <w:t>.</w:t>
      </w:r>
      <w:r w:rsidRPr="007B1014">
        <w:rPr>
          <w:lang w:eastAsia="pt-BR"/>
        </w:rPr>
        <w:t xml:space="preserve"> 26, apresenta as mutações do ativo líquido disponível para a cobertura dos benefícios que</w:t>
      </w:r>
      <w:r w:rsidR="00114A80">
        <w:rPr>
          <w:lang w:eastAsia="pt-BR"/>
        </w:rPr>
        <w:t>,</w:t>
      </w:r>
      <w:r w:rsidRPr="007B1014">
        <w:rPr>
          <w:lang w:eastAsia="pt-BR"/>
        </w:rPr>
        <w:t xml:space="preserve"> confrontando as contas Realizável de Investimento e Provisões Matemáticas</w:t>
      </w:r>
      <w:r w:rsidR="00114A80">
        <w:rPr>
          <w:lang w:eastAsia="pt-BR"/>
        </w:rPr>
        <w:t>,verifica</w:t>
      </w:r>
      <w:r w:rsidRPr="007B1014">
        <w:rPr>
          <w:lang w:eastAsia="pt-BR"/>
        </w:rPr>
        <w:t xml:space="preserve"> se os recursos aplicados no mercado financeiro são suficientes para cobrir as obrigações atuariais</w:t>
      </w:r>
      <w:r w:rsidR="00114A80">
        <w:rPr>
          <w:lang w:eastAsia="pt-BR"/>
        </w:rPr>
        <w:t>.</w:t>
      </w:r>
    </w:p>
    <w:p w:rsidR="00A304B4" w:rsidRDefault="00A304B4" w:rsidP="00A304B4">
      <w:pPr>
        <w:pStyle w:val="SemEspaamento"/>
        <w:spacing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pt-BR" w:eastAsia="pt-BR"/>
        </w:rPr>
      </w:pPr>
    </w:p>
    <w:p w:rsidR="00A304B4" w:rsidRPr="007B1014" w:rsidRDefault="00A304B4" w:rsidP="00114A80">
      <w:pPr>
        <w:pStyle w:val="HeadlineABNT"/>
        <w:numPr>
          <w:ilvl w:val="1"/>
          <w:numId w:val="3"/>
        </w:numPr>
        <w:ind w:left="360"/>
        <w:rPr>
          <w:rFonts w:eastAsia="Times New Roman"/>
          <w:lang w:val="pt-BR" w:eastAsia="pt-BR"/>
        </w:rPr>
      </w:pPr>
      <w:bookmarkStart w:id="47" w:name="_Toc338973047"/>
      <w:bookmarkStart w:id="48" w:name="_Toc338973074"/>
      <w:bookmarkStart w:id="49" w:name="_Toc338973124"/>
      <w:bookmarkStart w:id="50" w:name="_Toc339406856"/>
      <w:r w:rsidRPr="007B1014">
        <w:rPr>
          <w:rFonts w:eastAsia="Times New Roman"/>
          <w:lang w:val="pt-BR" w:eastAsia="pt-BR"/>
        </w:rPr>
        <w:t>Recurso Financeiro X Obrigações Atuariais</w:t>
      </w:r>
      <w:bookmarkEnd w:id="47"/>
      <w:bookmarkEnd w:id="48"/>
      <w:bookmarkEnd w:id="49"/>
      <w:bookmarkEnd w:id="50"/>
    </w:p>
    <w:p w:rsidR="00A304B4" w:rsidRPr="007B1014" w:rsidRDefault="00A304B4" w:rsidP="00A304B4">
      <w:pPr>
        <w:pStyle w:val="SemEspaamento"/>
        <w:spacing w:line="276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 w:eastAsia="pt-BR"/>
        </w:rPr>
      </w:pPr>
    </w:p>
    <w:p w:rsidR="00A304B4" w:rsidRPr="007B1014" w:rsidRDefault="00A304B4" w:rsidP="00FE7915">
      <w:pPr>
        <w:pStyle w:val="ABNT"/>
        <w:ind w:firstLine="709"/>
        <w:rPr>
          <w:lang w:eastAsia="pt-BR"/>
        </w:rPr>
      </w:pPr>
      <w:r w:rsidRPr="007B1014">
        <w:rPr>
          <w:lang w:eastAsia="pt-BR"/>
        </w:rPr>
        <w:t>No Plano BD administrado pela PREVIG</w:t>
      </w:r>
      <w:r w:rsidR="002B13F6">
        <w:rPr>
          <w:lang w:eastAsia="pt-BR"/>
        </w:rPr>
        <w:t>,</w:t>
      </w:r>
      <w:r w:rsidRPr="007B1014">
        <w:rPr>
          <w:lang w:eastAsia="pt-BR"/>
        </w:rPr>
        <w:t xml:space="preserve"> o saldo de Resultado Positivo dos Investimentos - Gestão Previdencial é de R$25.235 (Em milhares de reais)</w:t>
      </w:r>
      <w:r w:rsidR="002B13F6">
        <w:rPr>
          <w:lang w:eastAsia="pt-BR"/>
        </w:rPr>
        <w:t xml:space="preserve"> e</w:t>
      </w:r>
      <w:r w:rsidRPr="007B1014">
        <w:rPr>
          <w:lang w:eastAsia="pt-BR"/>
        </w:rPr>
        <w:t xml:space="preserve"> o saldo Provisões Matemáticas é no valor de R$ 12.884 (Em milhares de </w:t>
      </w:r>
      <w:r w:rsidR="0022754F" w:rsidRPr="007B1014">
        <w:rPr>
          <w:lang w:eastAsia="pt-BR"/>
        </w:rPr>
        <w:t>reais</w:t>
      </w:r>
      <w:r w:rsidRPr="007B1014">
        <w:rPr>
          <w:lang w:eastAsia="pt-BR"/>
        </w:rPr>
        <w:t>)</w:t>
      </w:r>
      <w:r w:rsidR="002B13F6">
        <w:rPr>
          <w:lang w:eastAsia="pt-BR"/>
        </w:rPr>
        <w:t>;percebe-se</w:t>
      </w:r>
      <w:r w:rsidRPr="007B1014">
        <w:rPr>
          <w:lang w:eastAsia="pt-BR"/>
        </w:rPr>
        <w:t xml:space="preserve"> que </w:t>
      </w:r>
      <w:r w:rsidR="002B13F6">
        <w:rPr>
          <w:lang w:eastAsia="pt-BR"/>
        </w:rPr>
        <w:t>há</w:t>
      </w:r>
      <w:r w:rsidRPr="007B1014">
        <w:rPr>
          <w:lang w:eastAsia="pt-BR"/>
        </w:rPr>
        <w:t xml:space="preserve"> capacidade de cumprir </w:t>
      </w:r>
      <w:r w:rsidR="002B13F6">
        <w:rPr>
          <w:lang w:eastAsia="pt-BR"/>
        </w:rPr>
        <w:t xml:space="preserve">com </w:t>
      </w:r>
      <w:r w:rsidRPr="007B1014">
        <w:rPr>
          <w:lang w:eastAsia="pt-BR"/>
        </w:rPr>
        <w:t>as obrigações pactuadas. Já o Plano CD possui os seguintes s</w:t>
      </w:r>
      <w:r w:rsidR="002B13F6">
        <w:rPr>
          <w:lang w:eastAsia="pt-BR"/>
        </w:rPr>
        <w:t>aldos: Provisões Matemáticas R$</w:t>
      </w:r>
      <w:r w:rsidRPr="007B1014">
        <w:rPr>
          <w:lang w:eastAsia="pt-BR"/>
        </w:rPr>
        <w:t xml:space="preserve">62.556 (Em milhares de reais) e Resultado Positivo dos Investimentos - Gestão Previdencial </w:t>
      </w:r>
      <w:r w:rsidR="002B13F6">
        <w:rPr>
          <w:lang w:eastAsia="pt-BR"/>
        </w:rPr>
        <w:t>de R$45.553 (Em milhares de reais); observa-se</w:t>
      </w:r>
      <w:r w:rsidRPr="007B1014">
        <w:rPr>
          <w:lang w:eastAsia="pt-BR"/>
        </w:rPr>
        <w:t xml:space="preserve"> que neste </w:t>
      </w:r>
      <w:r w:rsidR="002B13F6">
        <w:rPr>
          <w:lang w:eastAsia="pt-BR"/>
        </w:rPr>
        <w:t>inexiste</w:t>
      </w:r>
      <w:r w:rsidRPr="007B1014">
        <w:rPr>
          <w:lang w:eastAsia="pt-BR"/>
        </w:rPr>
        <w:t xml:space="preserve"> investimentos suficientes para cumprir </w:t>
      </w:r>
      <w:r w:rsidR="002B13F6">
        <w:rPr>
          <w:lang w:eastAsia="pt-BR"/>
        </w:rPr>
        <w:t xml:space="preserve">com </w:t>
      </w:r>
      <w:r w:rsidRPr="007B1014">
        <w:rPr>
          <w:lang w:eastAsia="pt-BR"/>
        </w:rPr>
        <w:t>as obrigações pactuadas.</w:t>
      </w:r>
    </w:p>
    <w:p w:rsidR="00A304B4" w:rsidRDefault="00A304B4" w:rsidP="00FE7915">
      <w:pPr>
        <w:pStyle w:val="ABNT"/>
        <w:ind w:firstLine="709"/>
        <w:rPr>
          <w:lang w:eastAsia="pt-BR"/>
        </w:rPr>
      </w:pPr>
      <w:r w:rsidRPr="007B1014">
        <w:rPr>
          <w:lang w:eastAsia="pt-BR"/>
        </w:rPr>
        <w:t>Ao verificar a demonstração contábil Balanço Patrimonial Consolidado</w:t>
      </w:r>
      <w:r w:rsidRPr="007B1014">
        <w:rPr>
          <w:color w:val="000000"/>
          <w:lang w:eastAsia="pt-BR"/>
        </w:rPr>
        <w:t xml:space="preserve"> percebe-se que o plano tem Ativos investidos no valor total de R$</w:t>
      </w:r>
      <w:r w:rsidRPr="007B1014">
        <w:rPr>
          <w:lang w:eastAsia="pt-BR"/>
        </w:rPr>
        <w:t xml:space="preserve">653.380 (Em milhares de reais) que não serão </w:t>
      </w:r>
      <w:r w:rsidRPr="007B1014">
        <w:rPr>
          <w:color w:val="000000"/>
          <w:lang w:eastAsia="pt-BR"/>
        </w:rPr>
        <w:t>suficientes para saldar os Passivos no valor total de R$</w:t>
      </w:r>
      <w:r w:rsidRPr="007B1014">
        <w:rPr>
          <w:lang w:eastAsia="pt-BR"/>
        </w:rPr>
        <w:t>665.426 (Em milhares de reais) encontrado na conta de Provisões Matemáticas.</w:t>
      </w:r>
    </w:p>
    <w:p w:rsidR="00616DB1" w:rsidRDefault="00616DB1" w:rsidP="00616DB1">
      <w:pPr>
        <w:pStyle w:val="ABNT"/>
        <w:spacing w:line="276" w:lineRule="auto"/>
        <w:rPr>
          <w:lang w:eastAsia="pt-BR"/>
        </w:rPr>
      </w:pPr>
    </w:p>
    <w:p w:rsidR="00616DB1" w:rsidRPr="00616DB1" w:rsidRDefault="00616DB1" w:rsidP="00E821CF">
      <w:pPr>
        <w:pStyle w:val="HeadlineABNT"/>
        <w:numPr>
          <w:ilvl w:val="0"/>
          <w:numId w:val="3"/>
        </w:numPr>
        <w:ind w:left="360"/>
      </w:pPr>
      <w:bookmarkStart w:id="51" w:name="_Toc339406857"/>
      <w:r w:rsidRPr="00616DB1">
        <w:t>CONTABILIDADE FISCAL E TRIBUTÁRIA</w:t>
      </w:r>
      <w:bookmarkEnd w:id="51"/>
    </w:p>
    <w:p w:rsidR="00616DB1" w:rsidRPr="00616DB1" w:rsidRDefault="00616DB1" w:rsidP="00616DB1">
      <w:pPr>
        <w:pStyle w:val="ABNT"/>
        <w:spacing w:line="276" w:lineRule="auto"/>
      </w:pPr>
    </w:p>
    <w:p w:rsidR="00616DB1" w:rsidRPr="00616DB1" w:rsidRDefault="00616DB1" w:rsidP="00FE7915">
      <w:pPr>
        <w:pStyle w:val="ABNT"/>
        <w:ind w:firstLine="709"/>
      </w:pPr>
      <w:r w:rsidRPr="00616DB1">
        <w:t xml:space="preserve">A ArcelorMittal </w:t>
      </w:r>
      <w:r w:rsidR="003B6F92">
        <w:t xml:space="preserve">(demonstrativos para análise presentes no Anexo 3) </w:t>
      </w:r>
      <w:r w:rsidRPr="00616DB1">
        <w:t xml:space="preserve">é uma empresa que se destaca no mercado pela produção do aço de qualidade diferenciada para diversas utilidades como automóveis, eletrodomésticos, embalagens, construção civil e naval. Considerada a maior produtora na America Latina com capacidade para 15 milhões de toneladas/ano, com 29 unidades industriais para produção ou beneficiamento de aço, </w:t>
      </w:r>
      <w:r>
        <w:t>tem</w:t>
      </w:r>
      <w:r w:rsidRPr="00616DB1">
        <w:t xml:space="preserve"> suas atividades com princípios de desenvolvimento sustentável.</w:t>
      </w:r>
    </w:p>
    <w:p w:rsidR="00616DB1" w:rsidRPr="00616DB1" w:rsidRDefault="00616DB1" w:rsidP="00FE7915">
      <w:pPr>
        <w:pStyle w:val="ABNT"/>
        <w:ind w:firstLine="709"/>
      </w:pPr>
      <w:r w:rsidRPr="00616DB1">
        <w:t xml:space="preserve">Sendo avaliada constantemente pela administração da Companhia, analisando a redução de acumulo de saldos credores em suas unidades de produção, sobretudo credito de ICMS. Os </w:t>
      </w:r>
      <w:r w:rsidRPr="00616DB1">
        <w:lastRenderedPageBreak/>
        <w:t>tributos fiscais de ICMS, PIS e COFINS no consoli</w:t>
      </w:r>
      <w:r w:rsidRPr="00616DB1">
        <w:softHyphen/>
        <w:t>dado, procedidos das aquisições de ativo imobilizado, no total de R$207.260 (R$ 309.107 em 31 de dezem</w:t>
      </w:r>
      <w:r w:rsidRPr="00616DB1">
        <w:softHyphen/>
        <w:t>bro 2010), são compensados no prazo de 48 meses para o ICMS, a partir da data de aquisição desses ati</w:t>
      </w:r>
      <w:r w:rsidRPr="00616DB1">
        <w:softHyphen/>
        <w:t>vos, e para o PIS/COFINS conforme legislação que esta em vigor.</w:t>
      </w:r>
    </w:p>
    <w:p w:rsidR="00616DB1" w:rsidRPr="00616DB1" w:rsidRDefault="00616DB1" w:rsidP="00FE7915">
      <w:pPr>
        <w:pStyle w:val="ABNT"/>
        <w:ind w:firstLine="709"/>
      </w:pPr>
      <w:r w:rsidRPr="00616DB1">
        <w:t xml:space="preserve">As principais ações tributárias as quais a Companhia registrou provisões são: </w:t>
      </w:r>
    </w:p>
    <w:p w:rsidR="00616DB1" w:rsidRPr="00616DB1" w:rsidRDefault="00616DB1" w:rsidP="00FE7915">
      <w:pPr>
        <w:pStyle w:val="ABNT"/>
        <w:ind w:firstLine="709"/>
      </w:pPr>
      <w:r w:rsidRPr="00616DB1">
        <w:t>• PIS/COFINS - Valor de R$ 64.734 em 31 de de</w:t>
      </w:r>
      <w:r w:rsidRPr="00616DB1">
        <w:softHyphen/>
        <w:t>zembro de 2011 (R$ 67.811 em 31 de dezembro de 2010). Os questionamentos envolvem princi</w:t>
      </w:r>
      <w:r w:rsidRPr="00616DB1">
        <w:softHyphen/>
        <w:t xml:space="preserve">palmente a inclusão do ICMS na base de cálculo do PIS e da COFINS. O valor consolidado do Grupo monta R$ 93.180 em 31 de dezembro de 2011. </w:t>
      </w:r>
    </w:p>
    <w:p w:rsidR="00616DB1" w:rsidRPr="00616DB1" w:rsidRDefault="00616DB1" w:rsidP="00FE7915">
      <w:pPr>
        <w:pStyle w:val="ABNT"/>
        <w:ind w:firstLine="709"/>
      </w:pPr>
      <w:r w:rsidRPr="00616DB1">
        <w:t>• ICMS - Valor de R$ 21.911 em 31 de dezembro de 2011 (R$ 45.531 em 31 de dezembro de 2010). Os questionamentos envolvem principalmente o ICMS sobre insumos utilizados no processo produ</w:t>
      </w:r>
      <w:r w:rsidRPr="00616DB1">
        <w:softHyphen/>
        <w:t xml:space="preserve">tivo da Companhia. Em </w:t>
      </w:r>
      <w:smartTag w:uri="urn:schemas-microsoft-com:office:smarttags" w:element="metricconverter">
        <w:smartTagPr>
          <w:attr w:name="ProductID" w:val="2010, a"/>
        </w:smartTagPr>
        <w:r w:rsidRPr="00616DB1">
          <w:t>2010, a</w:t>
        </w:r>
      </w:smartTag>
      <w:r w:rsidRPr="00616DB1">
        <w:t xml:space="preserve"> Companhia optou por aderir parcialmente à anistia concedida pelo Es</w:t>
      </w:r>
      <w:r w:rsidRPr="00616DB1">
        <w:softHyphen/>
        <w:t>tado de Minas Gerais. Seus efeitos contábeis resul</w:t>
      </w:r>
      <w:r w:rsidRPr="00616DB1">
        <w:softHyphen/>
        <w:t xml:space="preserve">taram na reversão do valor correspondente a R$ 3.484. O valor consolidado do grupo monta em R$ 25.637. </w:t>
      </w:r>
    </w:p>
    <w:p w:rsidR="00616DB1" w:rsidRPr="00616DB1" w:rsidRDefault="00616DB1" w:rsidP="00FE7915">
      <w:pPr>
        <w:pStyle w:val="ABNT"/>
        <w:ind w:firstLine="709"/>
      </w:pPr>
      <w:r w:rsidRPr="00616DB1">
        <w:t>• CSLL/IRPJ - Valor de R$ 28.943 em 31 de dezem</w:t>
      </w:r>
      <w:r w:rsidRPr="00616DB1">
        <w:softHyphen/>
        <w:t>bro de 2011 (R$ 31.732 em 31 de dezembro de 2010). Os questionamentos envolvem principal</w:t>
      </w:r>
      <w:r w:rsidRPr="00616DB1">
        <w:softHyphen/>
        <w:t>mente a compensação de base negativa de CSLL e multa de mora decorrente das denúncias espontâ</w:t>
      </w:r>
      <w:r w:rsidRPr="00616DB1">
        <w:softHyphen/>
        <w:t xml:space="preserve">neas. O valor consolidado do grupo é de R$ 28.958 em 31 de dezembro de 2011. </w:t>
      </w:r>
    </w:p>
    <w:p w:rsidR="00616DB1" w:rsidRPr="00616DB1" w:rsidRDefault="00616DB1" w:rsidP="00FE7915">
      <w:pPr>
        <w:pStyle w:val="ABNT"/>
        <w:ind w:firstLine="709"/>
      </w:pPr>
      <w:r w:rsidRPr="00616DB1">
        <w:t>• II/IPI/PIS/COFINS - Valor de R$ 161.046 em 31 de dezembro de 2011 (R$ 144.472 em 31 de dezembro de 2010). Lavrados autos de infração, desconsiderando o Regime de Drawback na mo</w:t>
      </w:r>
      <w:r w:rsidRPr="00616DB1">
        <w:softHyphen/>
        <w:t>dalidade de Licitação Internacional obtido pelos fornecedores da Companhia, sob alegação de que a importação teria se dado em desconformidade com o referido regime.</w:t>
      </w:r>
    </w:p>
    <w:p w:rsidR="00616DB1" w:rsidRPr="00616DB1" w:rsidRDefault="00616DB1" w:rsidP="00FE7915">
      <w:pPr>
        <w:pStyle w:val="ABNT"/>
        <w:ind w:firstLine="709"/>
      </w:pPr>
      <w:r w:rsidRPr="00616DB1">
        <w:t>A Companhia e suas controladas, fundamentadas nas ex</w:t>
      </w:r>
      <w:r w:rsidRPr="00616DB1">
        <w:softHyphen/>
        <w:t>pectativas de geração de lucros tributáveis futuros, deter</w:t>
      </w:r>
      <w:r w:rsidRPr="00616DB1">
        <w:softHyphen/>
        <w:t xml:space="preserve">minadas em estudo técnico aprovado pela Administração, e são reconhecidas integralmente nos exercícios findos em 31 de dezembro de 2011 e 2010, os créditos tributários sobre prejuízos fiscais e bases negativas de contribuição social de exercícios anteriores, que não possuem prazo prescricional e cuja compensação está limitada a 30% dos lucros anuais tributáveis. </w:t>
      </w:r>
    </w:p>
    <w:p w:rsidR="00616DB1" w:rsidRPr="00616DB1" w:rsidRDefault="00616DB1" w:rsidP="00FE7915">
      <w:pPr>
        <w:pStyle w:val="ABNT"/>
        <w:ind w:firstLine="709"/>
      </w:pPr>
      <w:r w:rsidRPr="00616DB1">
        <w:t>Os créditos de imposto de renda e de contribuição social sobre diferenças temporárias registradas no ativo não cir</w:t>
      </w:r>
      <w:r w:rsidRPr="00616DB1">
        <w:softHyphen/>
        <w:t>culante serão realizados na medida da realização dos passi</w:t>
      </w:r>
      <w:r w:rsidRPr="00616DB1">
        <w:softHyphen/>
        <w:t>vos que lhe deram origem, e são calculados com base nas alí</w:t>
      </w:r>
      <w:r w:rsidRPr="00616DB1">
        <w:softHyphen/>
        <w:t xml:space="preserve">quotas de 15% acrescidas do adicional de 10% </w:t>
      </w:r>
      <w:r w:rsidRPr="00616DB1">
        <w:lastRenderedPageBreak/>
        <w:t>sobre o lucro tributável excedente de R$ 240 mil para imposto de renda e 9% sobre o lucro tributável para contribuição social. Consideram a compensação de prejuízos fiscais e base negativa de contribuição social limitada a 30% do lucro real.</w:t>
      </w:r>
    </w:p>
    <w:p w:rsidR="00616DB1" w:rsidRPr="00616DB1" w:rsidRDefault="00616DB1" w:rsidP="00FE7915">
      <w:pPr>
        <w:pStyle w:val="ABNT"/>
        <w:ind w:firstLine="709"/>
      </w:pPr>
      <w:r w:rsidRPr="00616DB1">
        <w:t>Os ativos fiscais diferidos decorrentes de prejuízo fiscal, base negativa da contribuição social e dife</w:t>
      </w:r>
      <w:r w:rsidRPr="00616DB1">
        <w:softHyphen/>
        <w:t>renças temporárias levam em consideração o histó</w:t>
      </w:r>
      <w:r w:rsidRPr="00616DB1">
        <w:softHyphen/>
        <w:t>rico de rentabilidade e a expectativa de geração de lucros tributáveis futuros, fundamentada em estu</w:t>
      </w:r>
      <w:r w:rsidRPr="00616DB1">
        <w:softHyphen/>
        <w:t>do técnico de viabilidade.</w:t>
      </w:r>
    </w:p>
    <w:p w:rsidR="00616DB1" w:rsidRPr="00616DB1" w:rsidRDefault="00616DB1" w:rsidP="00FE7915">
      <w:pPr>
        <w:pStyle w:val="ABNT"/>
        <w:ind w:firstLine="709"/>
      </w:pPr>
      <w:r w:rsidRPr="00616DB1">
        <w:t>A Companhia recuperou todos os créditos de ICMS relativos à unidade industrial de Tubarão (ES), bem como vem tomando todas as medidas para a recu</w:t>
      </w:r>
      <w:r w:rsidRPr="00616DB1">
        <w:softHyphen/>
        <w:t>peração dos créditos da unidade de Vega do Sul (SC), no valor de R$ 480.000, classificando-os em função do prazo para implantação de medidas que visem esta recuperação e das perspectivas de recuperação, no ativo não circulante.</w:t>
      </w:r>
    </w:p>
    <w:p w:rsidR="00616DB1" w:rsidRPr="00616DB1" w:rsidRDefault="00616DB1" w:rsidP="00FE7915">
      <w:pPr>
        <w:pStyle w:val="ABNT"/>
        <w:ind w:firstLine="709"/>
        <w:rPr>
          <w:highlight w:val="red"/>
        </w:rPr>
      </w:pPr>
      <w:r w:rsidRPr="00616DB1">
        <w:t>A depreciação do imobilizado é registrada como custo de produção. Outros gastos são capita</w:t>
      </w:r>
      <w:r w:rsidRPr="00616DB1">
        <w:softHyphen/>
        <w:t>lizados apenas quando há um aumento nos benefícios econômicos desse item. Outro tipo de gasto é reconhecido no resultado como custo ou despesa, a empresa não identificou indicadores que possam reduzir o valor de realização de seus ativos em 31 de dezembro de 2011, com base nas análises dos fluxos de caixa descontados de acordo com a projeção orçamentária apro</w:t>
      </w:r>
      <w:r w:rsidRPr="00616DB1">
        <w:softHyphen/>
        <w:t>vada pela Administração.</w:t>
      </w:r>
    </w:p>
    <w:p w:rsidR="00616DB1" w:rsidRPr="00616DB1" w:rsidRDefault="00616DB1" w:rsidP="00FE7915">
      <w:pPr>
        <w:pStyle w:val="ABNT"/>
        <w:ind w:firstLine="709"/>
      </w:pPr>
      <w:r w:rsidRPr="00616DB1">
        <w:t>Em 2009, foi publicada a Lei 11.941/2009, estabelecendo os benefícios para pa</w:t>
      </w:r>
      <w:r w:rsidRPr="00616DB1">
        <w:softHyphen/>
        <w:t>gamento à vista ou parcelado, em até 180 (cento e oitenta) meses, de débitos de natureza tributária e previdenciária com redução de multa de mora e de ofí</w:t>
      </w:r>
      <w:r w:rsidRPr="00616DB1">
        <w:softHyphen/>
        <w:t>cio e juros de mora, inclusive o saldo remanescente dos débitos consolidados em parcelamentos anteriores.</w:t>
      </w:r>
    </w:p>
    <w:p w:rsidR="00616DB1" w:rsidRDefault="00616DB1" w:rsidP="00FE7915">
      <w:pPr>
        <w:pStyle w:val="ABNT"/>
        <w:ind w:firstLine="709"/>
      </w:pPr>
      <w:r w:rsidRPr="00616DB1">
        <w:t xml:space="preserve">Em </w:t>
      </w:r>
      <w:smartTag w:uri="urn:schemas-microsoft-com:office:smarttags" w:element="metricconverter">
        <w:smartTagPr>
          <w:attr w:name="ProductID" w:val="2003, a"/>
        </w:smartTagPr>
        <w:r w:rsidRPr="00616DB1">
          <w:t>2003, a</w:t>
        </w:r>
      </w:smartTag>
      <w:r w:rsidRPr="00616DB1">
        <w:t xml:space="preserve"> controlada CST (atual AMB) pleiteou e obteve o direito à redução de 75% do imposto sobre a renda das pessoas jurídicas - IRPJ e adicionais não restituíveis apurados sobre o lucro da exploração, por estar localizada na área de abrangência da Agência de Desenvolvimento do Nordeste - ADENE e por serem os setores de siderurgia e energia empreendimentos prioritários para o desenvolvimento regional confor</w:t>
      </w:r>
      <w:r w:rsidRPr="00616DB1">
        <w:softHyphen/>
        <w:t>me dispõe o Decreto nº 4.213/2002.</w:t>
      </w:r>
    </w:p>
    <w:p w:rsidR="00E821CF" w:rsidRDefault="00E821CF" w:rsidP="00E821CF">
      <w:pPr>
        <w:pStyle w:val="ABNT"/>
        <w:spacing w:line="276" w:lineRule="auto"/>
      </w:pPr>
    </w:p>
    <w:p w:rsidR="00E821CF" w:rsidRPr="00E821CF" w:rsidRDefault="00E821CF" w:rsidP="00E821CF">
      <w:pPr>
        <w:pStyle w:val="HeadlineABNT"/>
        <w:numPr>
          <w:ilvl w:val="0"/>
          <w:numId w:val="3"/>
        </w:numPr>
        <w:ind w:left="360"/>
      </w:pPr>
      <w:bookmarkStart w:id="52" w:name="_Toc339406858"/>
      <w:r w:rsidRPr="00E821CF">
        <w:t>INFLUÊNCIA NO CRESCIMENTO DO PIB</w:t>
      </w:r>
      <w:bookmarkEnd w:id="52"/>
    </w:p>
    <w:p w:rsidR="00E821CF" w:rsidRDefault="00E821CF" w:rsidP="00E821CF">
      <w:pPr>
        <w:pStyle w:val="ABNT"/>
        <w:spacing w:line="276" w:lineRule="auto"/>
        <w:ind w:firstLine="0"/>
      </w:pPr>
    </w:p>
    <w:p w:rsidR="00E821CF" w:rsidRPr="00C01723" w:rsidRDefault="00E821CF" w:rsidP="00FE7915">
      <w:pPr>
        <w:pStyle w:val="ABNT"/>
        <w:ind w:firstLine="709"/>
      </w:pPr>
      <w:r w:rsidRPr="00C01723">
        <w:t xml:space="preserve">A utilização da Demonstração do Valor Adicional (DVA) como ferramenta de análise tem o objetivo de fornecer informações que possam auxiliar na tomada de decisões, além de </w:t>
      </w:r>
      <w:r w:rsidRPr="00C01723">
        <w:lastRenderedPageBreak/>
        <w:t>individualizar a participação de cada empresa na formação e distribuição da riqueza. A DVA dará, também, condições de comparação entre grandezas econômicas que antes não eram possíveis apenas com base nas demonstrações contábeis tradicionais (SANTOS, 2003).</w:t>
      </w:r>
    </w:p>
    <w:p w:rsidR="00E821CF" w:rsidRPr="00E821CF" w:rsidRDefault="00E821CF" w:rsidP="00FE7915">
      <w:pPr>
        <w:pStyle w:val="ABNT"/>
        <w:ind w:firstLine="709"/>
      </w:pPr>
      <w:r w:rsidRPr="00E821CF">
        <w:t>Para melhor visualização desses benefícios a fim de uma análise ampla da movimentação das empresas, é de grande importância a utilização de quocientes que poderão ser extraídos da DVA. A Demonstração do Valor Adicional da Usiminas referente ao an</w:t>
      </w:r>
      <w:r w:rsidR="007101B9">
        <w:t xml:space="preserve">o de 2011 e 2010, representada no anexo 4 </w:t>
      </w:r>
      <w:r w:rsidRPr="00E821CF">
        <w:t>neste trabalho, servirá como base para projeção, descrição dos índices abordados.</w:t>
      </w:r>
    </w:p>
    <w:p w:rsidR="00E821CF" w:rsidRPr="00E821CF" w:rsidRDefault="00E821CF" w:rsidP="00FE7915">
      <w:pPr>
        <w:pStyle w:val="ABNT"/>
        <w:ind w:firstLine="709"/>
      </w:pPr>
      <w:r w:rsidRPr="00E821CF">
        <w:t>O primeiro a ser determinado é a produtividade da mão-de-obra, dado pelo quociente Valor Adicional sobre Número de Empregados, no qual teremos o volume de produção e o capital utilizado, seja ele humano, material ou financeiro (SANTOS, 2003). Tendo como base a empresa mineira Usiminas, para levantamento real das demonstrações, observa-se que sua produtividade em 2011 comparada à de 2010 obteve um decréscimo relativo a 6.831,78% – a quantidade de funcionário foi inferior de um ano para o outro.</w:t>
      </w:r>
    </w:p>
    <w:p w:rsidR="00E821CF" w:rsidRPr="00C01723" w:rsidRDefault="00E821CF" w:rsidP="00FE7915">
      <w:pPr>
        <w:pStyle w:val="ABNT"/>
        <w:ind w:firstLine="709"/>
      </w:pPr>
      <w:r w:rsidRPr="00C01723">
        <w:t xml:space="preserve">Para o gasto com pessoal das empresas detemos da divisão entre mão-de-obra e valor adicional, cujo resultado foi positivo, entre 2011 e 2010, de 32,12%. Para essa variação, segundo SANTOS (2003), relaciona-se o quanto de riqueza criada pela empresa está sendo destinada a seus colaboradores; por outro lado quando se compara Valor Adicional com </w:t>
      </w:r>
      <w:r w:rsidR="0022754F" w:rsidRPr="00C01723">
        <w:t>Mão-de-obra</w:t>
      </w:r>
      <w:r w:rsidRPr="00C01723">
        <w:t>, ocorreu um decréscimo do índice de 379,18%, o que se pode dizer conforme que uma parte menor da riqueza esta sendo destinado ao pessoal implicando algum outro componente dos fatores de produção que aumenta sua participação.</w:t>
      </w:r>
    </w:p>
    <w:p w:rsidR="00E821CF" w:rsidRPr="00C01723" w:rsidRDefault="00E821CF" w:rsidP="00FE7915">
      <w:pPr>
        <w:pStyle w:val="ABNT"/>
        <w:ind w:firstLine="709"/>
      </w:pPr>
      <w:r w:rsidRPr="00C01723">
        <w:t>O faturamento é um grande fator de interesse para os empresários, sendo representado pelo quociente entre Valor Adicionado e Faturamento que indica, conforme SANTOS (2003), que em determinado período quanto de cada unidade monetária vendida transformou-se em riqueza criada pela empresa. A Usiminas em 2011 obteve 12,80% e em 2010 29,00%, com isso ocorreu uma queda do seu faturamento de 16,20%.</w:t>
      </w:r>
    </w:p>
    <w:p w:rsidR="00E821CF" w:rsidRPr="00E821CF" w:rsidRDefault="00E821CF" w:rsidP="00FE7915">
      <w:pPr>
        <w:pStyle w:val="ABNT"/>
        <w:ind w:firstLine="709"/>
      </w:pPr>
      <w:r w:rsidRPr="00E821CF">
        <w:t xml:space="preserve">Toda empresa é movida de capital e para iniciar suas atividades, o mesmo pode ser promovido por terceiros ou pelos próprios sócios e a verificação dos índices desses meios de capital ocorre mediante quociente entre a remuneração do capital e o financiamento do ativo total. Análogo a SANTOS (2003) este quociente visa dar conhecimentos de como as remunerações devidas aos financiadores de capitais estão sendo distribuídas. A empresa em </w:t>
      </w:r>
      <w:r w:rsidRPr="00E821CF">
        <w:lastRenderedPageBreak/>
        <w:t>questão obteve como Patrimônio Líquido uma variação negativa de 64,40%, sendo que em 2011 seu índice foi de 109,76% e 2010 174,25%; já para Capital de Terceiros ocorreu uma variação positiva de 44,73%, sendo assim no ano mais recente ocorreu destinação de capital para os terceiros.</w:t>
      </w:r>
    </w:p>
    <w:p w:rsidR="00E821CF" w:rsidRPr="00C01723" w:rsidRDefault="00E821CF" w:rsidP="00FE7915">
      <w:pPr>
        <w:pStyle w:val="ABNT"/>
        <w:ind w:firstLine="709"/>
      </w:pPr>
      <w:r w:rsidRPr="00C01723">
        <w:t>O quociente que detecta o valor destinado à pesquisa e desenvolvimentos não foi identificado pela DVA da empresa Usiminas (não há valores específicos para essa destinação). Sendo assim para base de verificação do investimentos que se tem para a sua produção foi utilizado os valores referentes ao insumos adquiridos de terceiros, tendo como resultado uma aplicação das suas riqueza maior em  456,91% no ano de 2010 em relação a 2011.</w:t>
      </w:r>
    </w:p>
    <w:p w:rsidR="00E821CF" w:rsidRPr="00C01723" w:rsidRDefault="00E821CF" w:rsidP="00FE7915">
      <w:pPr>
        <w:pStyle w:val="ABNT"/>
        <w:ind w:firstLine="709"/>
      </w:pPr>
      <w:r w:rsidRPr="00C01723">
        <w:t>A distribuição da riqueza também está direcionada para os gastos com impostos, alugueis, juros e valores adicionados. De acordo com SANTOS (2003) esses gastos e mais dois referentes ao pessoal e lucros retidos devem sempre ser vistos em seu todo, pois sua análise pode identificar de maneira clara qualquer mudança na forma de distribuição da riqueza.</w:t>
      </w:r>
    </w:p>
    <w:p w:rsidR="00E821CF" w:rsidRPr="00C01723" w:rsidRDefault="00E821CF" w:rsidP="00FE7915">
      <w:pPr>
        <w:pStyle w:val="ABNT"/>
        <w:ind w:firstLine="709"/>
      </w:pPr>
      <w:r w:rsidRPr="00C01723">
        <w:t xml:space="preserve"> Na Usiminas os gastos inerentes aos impostos obtiveram 19,20% em 2011, ao passo que em 2010 ocorreu quase o dobro, ficando em 38,53%. Essa análise, segundo SANTOS (2003), evidencia a carga tributária a que a empresa submete-se, a qual demonstra grande utilidade para o Estado, pois disporá de mais um instrumento para a tomada de decisões. Já o gasto destinado a juros, aluguéis e valores adicionais devem ser entendidos como fatores de produção, apresentando uma variação positiva de 36,64% de um ano para o outro.</w:t>
      </w:r>
    </w:p>
    <w:p w:rsidR="00E821CF" w:rsidRPr="00C01723" w:rsidRDefault="00E821CF" w:rsidP="00FE7915">
      <w:pPr>
        <w:pStyle w:val="ABNT"/>
        <w:ind w:firstLine="709"/>
        <w:rPr>
          <w:sz w:val="20"/>
        </w:rPr>
      </w:pPr>
      <w:r w:rsidRPr="00C01723">
        <w:t>A destinação da riqueza aos lucros retidos, dividendos e valores adicionais para muitos é a mais espera e Santos destaca que os valores apresentados por esse quociente constitui-se em um excelente medidor que indicará a evolução e tendência da forma de como as riquezas criadas pelas empresas são distribuídas aos portadores de suas quotas ou ações (SANTOS, 2003).</w:t>
      </w:r>
    </w:p>
    <w:p w:rsidR="00E821CF" w:rsidRPr="00B37F7E" w:rsidRDefault="00E821CF" w:rsidP="00FE7915">
      <w:pPr>
        <w:pStyle w:val="ABNT"/>
        <w:ind w:firstLine="709"/>
        <w:rPr>
          <w:color w:val="auto"/>
        </w:rPr>
      </w:pPr>
      <w:r w:rsidRPr="00B37F7E">
        <w:rPr>
          <w:color w:val="auto"/>
        </w:rPr>
        <w:t>A Usimin</w:t>
      </w:r>
      <w:r w:rsidR="00B37F7E">
        <w:rPr>
          <w:color w:val="auto"/>
        </w:rPr>
        <w:t xml:space="preserve">as dispõe de um valor </w:t>
      </w:r>
      <w:r w:rsidRPr="00B37F7E">
        <w:rPr>
          <w:color w:val="auto"/>
        </w:rPr>
        <w:t>no qual ocorreu a redução dessa distribuição entre 2011 e 2010 de 11,01%, sendo que no primeiro ano ela destinou um percentual de 24,43 para seus acionistas e em 2012 foi de 35,44%.</w:t>
      </w:r>
    </w:p>
    <w:p w:rsidR="00E821CF" w:rsidRDefault="00E821CF" w:rsidP="00FE7915">
      <w:pPr>
        <w:pStyle w:val="ABNT"/>
        <w:ind w:firstLine="709"/>
      </w:pPr>
      <w:r w:rsidRPr="00C01723">
        <w:t xml:space="preserve">Para fins de análise entre um ano e o outro ocorreu uma variação de 40,57% do Valor Adicional da Usiminas e no setor econômico referente ao PIB Nacional de 2011 verificado e calculo conforme anexo ela contribui 0,0434%, já no PIB Regional e Setorial do mesmo anos seu percentual foi de 0.0006% e 0,0002%. </w:t>
      </w:r>
    </w:p>
    <w:p w:rsidR="004619E8" w:rsidRDefault="004619E8" w:rsidP="00797C51">
      <w:pPr>
        <w:pStyle w:val="ABNT"/>
        <w:spacing w:line="276" w:lineRule="auto"/>
      </w:pPr>
    </w:p>
    <w:p w:rsidR="004619E8" w:rsidRDefault="009A118D" w:rsidP="004619E8">
      <w:pPr>
        <w:pStyle w:val="HeadlineABNT"/>
        <w:numPr>
          <w:ilvl w:val="0"/>
          <w:numId w:val="3"/>
        </w:numPr>
        <w:tabs>
          <w:tab w:val="left" w:pos="360"/>
        </w:tabs>
        <w:ind w:left="360"/>
      </w:pPr>
      <w:bookmarkStart w:id="53" w:name="_Toc339406859"/>
      <w:r>
        <w:lastRenderedPageBreak/>
        <w:t>GESTÃO PÚBLICA</w:t>
      </w:r>
      <w:bookmarkEnd w:id="53"/>
    </w:p>
    <w:p w:rsidR="00C2091E" w:rsidRDefault="00C2091E" w:rsidP="00C2091E">
      <w:pPr>
        <w:pStyle w:val="ABNT"/>
        <w:spacing w:line="276" w:lineRule="auto"/>
      </w:pPr>
    </w:p>
    <w:p w:rsidR="00C2091E" w:rsidRDefault="00C2091E" w:rsidP="004619E8">
      <w:pPr>
        <w:pStyle w:val="HeadlineABNT"/>
        <w:numPr>
          <w:ilvl w:val="1"/>
          <w:numId w:val="3"/>
        </w:numPr>
        <w:ind w:left="450"/>
        <w:rPr>
          <w:lang w:val="pt-BR"/>
        </w:rPr>
      </w:pPr>
      <w:bookmarkStart w:id="54" w:name="_Toc339406860"/>
      <w:r w:rsidRPr="00C2091E">
        <w:rPr>
          <w:lang w:val="pt-BR"/>
        </w:rPr>
        <w:t>Tributos</w:t>
      </w:r>
      <w:bookmarkEnd w:id="54"/>
    </w:p>
    <w:p w:rsidR="00C2091E" w:rsidRPr="00C2091E" w:rsidRDefault="00C2091E" w:rsidP="00C2091E">
      <w:pPr>
        <w:pStyle w:val="HeadlineABNT"/>
        <w:spacing w:line="276" w:lineRule="auto"/>
        <w:rPr>
          <w:lang w:val="pt-BR"/>
        </w:rPr>
      </w:pPr>
    </w:p>
    <w:p w:rsidR="00C2091E" w:rsidRDefault="00C2091E" w:rsidP="00FE7915">
      <w:pPr>
        <w:pStyle w:val="ABNT"/>
        <w:ind w:firstLine="709"/>
        <w:rPr>
          <w:shd w:val="clear" w:color="auto" w:fill="FFFFFF"/>
        </w:rPr>
      </w:pPr>
      <w:r>
        <w:t xml:space="preserve">Conforme descrito no artigo 4, do CTN (Código Tributário Nacional), </w:t>
      </w:r>
      <w:r>
        <w:rPr>
          <w:shd w:val="clear" w:color="auto" w:fill="FFFFFF"/>
        </w:rPr>
        <w:t>“t</w:t>
      </w:r>
      <w:r w:rsidRPr="00C2091E">
        <w:rPr>
          <w:shd w:val="clear" w:color="auto" w:fill="FFFFFF"/>
        </w:rPr>
        <w:t>ributo é toda prestação pecuniária compulsória, em moeda ou cujo valor nela se possa exprimir, que não constitui sanção de ato ilícito, instituída em lei e cobrada mediante atividade administrativa plenamente vinculada</w:t>
      </w:r>
      <w:r>
        <w:rPr>
          <w:shd w:val="clear" w:color="auto" w:fill="FFFFFF"/>
        </w:rPr>
        <w:t>.”</w:t>
      </w:r>
    </w:p>
    <w:p w:rsidR="00D33193" w:rsidRPr="00C2091E" w:rsidRDefault="00D33193" w:rsidP="00D33193">
      <w:pPr>
        <w:pStyle w:val="ABNT"/>
        <w:spacing w:line="276" w:lineRule="auto"/>
        <w:rPr>
          <w:shd w:val="clear" w:color="auto" w:fill="FFFFFF"/>
        </w:rPr>
      </w:pPr>
    </w:p>
    <w:p w:rsidR="00C2091E" w:rsidRDefault="00C2091E" w:rsidP="004619E8">
      <w:pPr>
        <w:pStyle w:val="HeadlineABNT"/>
        <w:numPr>
          <w:ilvl w:val="1"/>
          <w:numId w:val="3"/>
        </w:numPr>
        <w:ind w:left="630" w:hanging="540"/>
        <w:rPr>
          <w:lang w:val="pt-BR"/>
        </w:rPr>
      </w:pPr>
      <w:bookmarkStart w:id="55" w:name="_Toc339406861"/>
      <w:r w:rsidRPr="00C2091E">
        <w:rPr>
          <w:lang w:val="pt-BR"/>
        </w:rPr>
        <w:t>Lei de Responsabilidade Fiscal (LRF)</w:t>
      </w:r>
      <w:bookmarkEnd w:id="55"/>
    </w:p>
    <w:p w:rsidR="00C2091E" w:rsidRPr="00C2091E" w:rsidRDefault="00C2091E" w:rsidP="00C2091E">
      <w:pPr>
        <w:pStyle w:val="HeadlineABNT"/>
        <w:spacing w:line="276" w:lineRule="auto"/>
        <w:rPr>
          <w:lang w:val="pt-BR"/>
        </w:rPr>
      </w:pPr>
    </w:p>
    <w:p w:rsidR="00C2091E" w:rsidRPr="00C2091E" w:rsidRDefault="00C2091E" w:rsidP="00FE7915">
      <w:pPr>
        <w:pStyle w:val="ABNT"/>
        <w:ind w:firstLine="709"/>
      </w:pPr>
      <w:r>
        <w:t xml:space="preserve">A Lei de Responsabilidade Fiscal (LRF) </w:t>
      </w:r>
      <w:r w:rsidRPr="00C2091E">
        <w:t>trata de finanças públicas fixando limites e proibições ao gestor público, com o objetivo de manter a transparência dos procedimentos administrativos e o equilíbrio financeiro das contas.</w:t>
      </w:r>
    </w:p>
    <w:p w:rsidR="00C2091E" w:rsidRPr="00C2091E" w:rsidRDefault="00C2091E" w:rsidP="00C2091E">
      <w:pPr>
        <w:spacing w:line="276" w:lineRule="auto"/>
        <w:rPr>
          <w:b/>
          <w:sz w:val="24"/>
          <w:lang w:val="pt-BR"/>
        </w:rPr>
      </w:pPr>
    </w:p>
    <w:p w:rsidR="00C2091E" w:rsidRDefault="00C2091E" w:rsidP="004619E8">
      <w:pPr>
        <w:pStyle w:val="HeadlineABNT"/>
        <w:numPr>
          <w:ilvl w:val="1"/>
          <w:numId w:val="3"/>
        </w:numPr>
        <w:ind w:left="540" w:hanging="540"/>
        <w:rPr>
          <w:lang w:val="pt-BR"/>
        </w:rPr>
      </w:pPr>
      <w:bookmarkStart w:id="56" w:name="_Toc339406862"/>
      <w:r w:rsidRPr="00C2091E">
        <w:rPr>
          <w:lang w:val="pt-BR"/>
        </w:rPr>
        <w:t>Receitas Tributárias</w:t>
      </w:r>
      <w:bookmarkEnd w:id="56"/>
    </w:p>
    <w:p w:rsidR="00C2091E" w:rsidRPr="00C2091E" w:rsidRDefault="00C2091E" w:rsidP="00C2091E">
      <w:pPr>
        <w:pStyle w:val="HeadlineABNT"/>
        <w:spacing w:line="276" w:lineRule="auto"/>
        <w:ind w:left="1080"/>
        <w:rPr>
          <w:lang w:val="pt-BR"/>
        </w:rPr>
      </w:pPr>
    </w:p>
    <w:p w:rsidR="00C2091E" w:rsidRPr="00C2091E" w:rsidRDefault="00C2091E" w:rsidP="00FE7915">
      <w:pPr>
        <w:pStyle w:val="ABNT"/>
        <w:ind w:firstLine="709"/>
      </w:pPr>
      <w:r w:rsidRPr="00C2091E">
        <w:t>As receitas tributárias são aquelas que decorrem da cobrança dos tributos. A Constituição Federal atribui a cada Ente da Federação os tributos que poderão ser instituídos por Lei Ordinária ou Complementar.</w:t>
      </w:r>
    </w:p>
    <w:p w:rsidR="00C2091E" w:rsidRPr="00C2091E" w:rsidRDefault="00C2091E" w:rsidP="00C2091E">
      <w:pPr>
        <w:spacing w:line="276" w:lineRule="auto"/>
        <w:rPr>
          <w:sz w:val="24"/>
          <w:lang w:val="pt-BR"/>
        </w:rPr>
      </w:pPr>
    </w:p>
    <w:p w:rsidR="00C2091E" w:rsidRPr="00C2091E" w:rsidRDefault="00C2091E" w:rsidP="004619E8">
      <w:pPr>
        <w:pStyle w:val="HeadlineABNT"/>
        <w:numPr>
          <w:ilvl w:val="1"/>
          <w:numId w:val="3"/>
        </w:numPr>
        <w:tabs>
          <w:tab w:val="left" w:pos="180"/>
          <w:tab w:val="left" w:pos="540"/>
        </w:tabs>
        <w:ind w:left="360"/>
        <w:rPr>
          <w:lang w:val="pt-BR"/>
        </w:rPr>
      </w:pPr>
      <w:bookmarkStart w:id="57" w:name="_Toc339406863"/>
      <w:r w:rsidRPr="00C2091E">
        <w:rPr>
          <w:lang w:val="pt-BR"/>
        </w:rPr>
        <w:t>Renúncia de Receita</w:t>
      </w:r>
      <w:bookmarkEnd w:id="57"/>
    </w:p>
    <w:p w:rsidR="00C2091E" w:rsidRDefault="00C2091E" w:rsidP="00C2091E">
      <w:pPr>
        <w:pStyle w:val="ABNT"/>
        <w:spacing w:line="276" w:lineRule="auto"/>
      </w:pPr>
    </w:p>
    <w:p w:rsidR="00C2091E" w:rsidRPr="00C2091E" w:rsidRDefault="00C2091E" w:rsidP="00FE7915">
      <w:pPr>
        <w:pStyle w:val="ABNT"/>
        <w:ind w:firstLine="709"/>
      </w:pPr>
      <w:r w:rsidRPr="00C2091E">
        <w:t xml:space="preserve">A renúncia diz respeito à desistência do direito de cobrar um crédito tributário (na sua totalidade ou parcialmente), exposta pelo Ente que possui competência para criação do tributo. É pela permissão de incentivos fiscais que ocorre a renúncia de receita. </w:t>
      </w:r>
    </w:p>
    <w:p w:rsidR="00C2091E" w:rsidRPr="00C2091E" w:rsidRDefault="00C2091E" w:rsidP="004619E8">
      <w:pPr>
        <w:spacing w:line="276" w:lineRule="auto"/>
        <w:rPr>
          <w:lang w:val="pt-BR"/>
        </w:rPr>
      </w:pPr>
    </w:p>
    <w:p w:rsidR="00C2091E" w:rsidRDefault="00C2091E" w:rsidP="004619E8">
      <w:pPr>
        <w:pStyle w:val="HeadlineABNT"/>
        <w:numPr>
          <w:ilvl w:val="1"/>
          <w:numId w:val="3"/>
        </w:numPr>
        <w:ind w:left="630" w:hanging="630"/>
        <w:rPr>
          <w:lang w:val="pt-BR"/>
        </w:rPr>
      </w:pPr>
      <w:bookmarkStart w:id="58" w:name="_Toc339406864"/>
      <w:r w:rsidRPr="00C2091E">
        <w:rPr>
          <w:lang w:val="pt-BR"/>
        </w:rPr>
        <w:t>Incentivo Fiscal</w:t>
      </w:r>
      <w:bookmarkEnd w:id="58"/>
    </w:p>
    <w:p w:rsidR="00C2091E" w:rsidRPr="00C2091E" w:rsidRDefault="00C2091E" w:rsidP="00C2091E">
      <w:pPr>
        <w:pStyle w:val="HeadlineABNT"/>
        <w:rPr>
          <w:lang w:val="pt-BR"/>
        </w:rPr>
      </w:pPr>
    </w:p>
    <w:p w:rsidR="00C2091E" w:rsidRPr="00C2091E" w:rsidRDefault="00C2091E" w:rsidP="00FE7915">
      <w:pPr>
        <w:pStyle w:val="ABNT"/>
        <w:ind w:firstLine="709"/>
      </w:pPr>
      <w:r w:rsidRPr="00C2091E">
        <w:t xml:space="preserve">Os incentivos fiscais são estímulos instituídos pelos Governos para desenvolver e estimular setores de interesse para o país, são instrumentos que o Poder Público possui para gerar o desenvolvimento da  economia e possibilitar o aumento de empregos em determinada faixa do território onde são aplicados. </w:t>
      </w:r>
    </w:p>
    <w:p w:rsidR="00C2091E" w:rsidRPr="00C2091E" w:rsidRDefault="00C2091E" w:rsidP="00C2091E">
      <w:pPr>
        <w:pStyle w:val="ABNT"/>
      </w:pPr>
      <w:r w:rsidRPr="00C2091E">
        <w:t>A redução da base de cálculo é o incentivo fiscal por meio do qual a lei altera para menos sua base tributável através da exclusão de qualquer de seus elementos constitutivos.</w:t>
      </w:r>
    </w:p>
    <w:p w:rsidR="00C2091E" w:rsidRPr="00C2091E" w:rsidRDefault="00C2091E" w:rsidP="004619E8">
      <w:pPr>
        <w:spacing w:line="276" w:lineRule="auto"/>
        <w:rPr>
          <w:lang w:val="pt-BR"/>
        </w:rPr>
      </w:pPr>
    </w:p>
    <w:p w:rsidR="00C2091E" w:rsidRDefault="00C2091E" w:rsidP="004619E8">
      <w:pPr>
        <w:pStyle w:val="HeadlineABNT"/>
        <w:numPr>
          <w:ilvl w:val="1"/>
          <w:numId w:val="3"/>
        </w:numPr>
        <w:ind w:left="540" w:hanging="540"/>
        <w:rPr>
          <w:lang w:val="pt-BR"/>
        </w:rPr>
      </w:pPr>
      <w:bookmarkStart w:id="59" w:name="_Toc339406865"/>
      <w:r w:rsidRPr="00C2091E">
        <w:rPr>
          <w:lang w:val="pt-BR"/>
        </w:rPr>
        <w:lastRenderedPageBreak/>
        <w:t>A Empresa</w:t>
      </w:r>
      <w:bookmarkEnd w:id="59"/>
    </w:p>
    <w:p w:rsidR="00C2091E" w:rsidRPr="00C2091E" w:rsidRDefault="00C2091E" w:rsidP="00C2091E">
      <w:pPr>
        <w:pStyle w:val="HeadlineABNT"/>
        <w:spacing w:line="276" w:lineRule="auto"/>
        <w:rPr>
          <w:lang w:val="pt-BR"/>
        </w:rPr>
      </w:pPr>
    </w:p>
    <w:p w:rsidR="00C2091E" w:rsidRDefault="00C2091E" w:rsidP="00FE7915">
      <w:pPr>
        <w:pStyle w:val="ABNT"/>
        <w:ind w:firstLine="709"/>
      </w:pPr>
      <w:r w:rsidRPr="00C2091E">
        <w:t>A empresa  onde foi realizado o estudo é referência em automação industrial, atuando no desenvolvimento e construção de robôs industriais de alta tecnologia, linhas de montagem de câmbio e transmissões, dispositivos de manipulação e solda, sistemas de produção, centros de usinagem e transportadores especiais.</w:t>
      </w:r>
    </w:p>
    <w:p w:rsidR="00C2091E" w:rsidRPr="00D72029" w:rsidRDefault="00C2091E" w:rsidP="00D72029">
      <w:pPr>
        <w:pStyle w:val="ABNT"/>
        <w:spacing w:line="276" w:lineRule="auto"/>
      </w:pPr>
    </w:p>
    <w:p w:rsidR="00C2091E" w:rsidRDefault="00D72029" w:rsidP="00D72029">
      <w:pPr>
        <w:pStyle w:val="HeadlineABNT"/>
        <w:numPr>
          <w:ilvl w:val="1"/>
          <w:numId w:val="3"/>
        </w:numPr>
        <w:tabs>
          <w:tab w:val="left" w:pos="180"/>
          <w:tab w:val="left" w:pos="450"/>
          <w:tab w:val="left" w:pos="630"/>
          <w:tab w:val="left" w:pos="990"/>
          <w:tab w:val="left" w:pos="1170"/>
        </w:tabs>
        <w:ind w:left="810" w:hanging="810"/>
        <w:rPr>
          <w:lang w:val="pt-BR"/>
        </w:rPr>
      </w:pPr>
      <w:bookmarkStart w:id="60" w:name="_Toc339406866"/>
      <w:r w:rsidRPr="00C2091E">
        <w:rPr>
          <w:lang w:val="pt-BR"/>
        </w:rPr>
        <w:t>Lei 11.196/05 (Lei Do Bem)</w:t>
      </w:r>
      <w:bookmarkEnd w:id="60"/>
    </w:p>
    <w:p w:rsidR="00C2091E" w:rsidRPr="00C2091E" w:rsidRDefault="00C2091E" w:rsidP="00C2091E">
      <w:pPr>
        <w:pStyle w:val="HeadlineABNT"/>
        <w:spacing w:line="276" w:lineRule="auto"/>
        <w:rPr>
          <w:lang w:val="pt-BR"/>
        </w:rPr>
      </w:pPr>
    </w:p>
    <w:p w:rsidR="00C2091E" w:rsidRDefault="00C2091E" w:rsidP="00FE7915">
      <w:pPr>
        <w:pStyle w:val="ABNT"/>
        <w:ind w:firstLine="709"/>
      </w:pPr>
      <w:r w:rsidRPr="00C2091E">
        <w:t xml:space="preserve">O Principal objeto do governo e incentivar os investimentos em Pesquisa, Desenvolvimento e Inovação (P,D&amp;I) no País. </w:t>
      </w:r>
    </w:p>
    <w:p w:rsidR="00C2091E" w:rsidRPr="00C2091E" w:rsidRDefault="00C2091E" w:rsidP="00797C51">
      <w:pPr>
        <w:spacing w:line="276" w:lineRule="auto"/>
        <w:rPr>
          <w:lang w:val="pt-BR"/>
        </w:rPr>
      </w:pPr>
    </w:p>
    <w:p w:rsidR="00C2091E" w:rsidRDefault="00C2091E" w:rsidP="004619E8">
      <w:pPr>
        <w:pStyle w:val="HeadlineABNT"/>
        <w:numPr>
          <w:ilvl w:val="2"/>
          <w:numId w:val="3"/>
        </w:numPr>
        <w:ind w:left="720"/>
        <w:rPr>
          <w:lang w:val="pt-BR"/>
        </w:rPr>
      </w:pPr>
      <w:bookmarkStart w:id="61" w:name="_Toc339406867"/>
      <w:r w:rsidRPr="00C2091E">
        <w:rPr>
          <w:lang w:val="pt-BR"/>
        </w:rPr>
        <w:t>Lei Do Bem – Beneficiários E Principais Obrigações</w:t>
      </w:r>
      <w:bookmarkEnd w:id="61"/>
    </w:p>
    <w:p w:rsidR="00C2091E" w:rsidRPr="00C2091E" w:rsidRDefault="00C2091E" w:rsidP="00C2091E">
      <w:pPr>
        <w:pStyle w:val="HeadlineABNT"/>
        <w:rPr>
          <w:lang w:val="pt-BR"/>
        </w:rPr>
      </w:pPr>
    </w:p>
    <w:p w:rsidR="00C2091E" w:rsidRPr="00C2091E" w:rsidRDefault="00C2091E" w:rsidP="00FE7915">
      <w:pPr>
        <w:pStyle w:val="ABNT"/>
        <w:ind w:firstLine="709"/>
      </w:pPr>
      <w:r w:rsidRPr="00C2091E">
        <w:t>São beneficiadas pela Lei do Bem as empresas tributadas pelo Lucro Real e as empresas optantes pelo simples e lucro presumido, estas possue</w:t>
      </w:r>
      <w:r>
        <w:t xml:space="preserve">m </w:t>
      </w:r>
      <w:r w:rsidRPr="00C2091E">
        <w:t>o beneficio</w:t>
      </w:r>
      <w:r>
        <w:t xml:space="preserve"> da redução IRRF e IPI, r</w:t>
      </w:r>
      <w:r w:rsidRPr="00A86946">
        <w:t>egularidade Fiscal</w:t>
      </w:r>
      <w:r>
        <w:t xml:space="preserve"> e prestação de</w:t>
      </w:r>
      <w:r w:rsidRPr="00C2091E">
        <w:t xml:space="preserve"> contas ao Ministério da Ciência e Tecnologia (MCT) </w:t>
      </w:r>
    </w:p>
    <w:p w:rsidR="00C2091E" w:rsidRPr="00C2091E" w:rsidRDefault="00C2091E" w:rsidP="00D72029">
      <w:pPr>
        <w:pStyle w:val="ABNT"/>
        <w:spacing w:line="276" w:lineRule="auto"/>
      </w:pPr>
    </w:p>
    <w:p w:rsidR="00C2091E" w:rsidRDefault="004619E8" w:rsidP="004619E8">
      <w:pPr>
        <w:pStyle w:val="HeadlineABNT"/>
        <w:numPr>
          <w:ilvl w:val="1"/>
          <w:numId w:val="3"/>
        </w:numPr>
        <w:ind w:left="630" w:hanging="630"/>
        <w:rPr>
          <w:lang w:val="pt-BR"/>
        </w:rPr>
      </w:pPr>
      <w:bookmarkStart w:id="62" w:name="_Toc339406868"/>
      <w:r w:rsidRPr="00C2091E">
        <w:rPr>
          <w:lang w:val="pt-BR"/>
        </w:rPr>
        <w:t>Apuração Fiscal Da Empresa Sem O Beneficio</w:t>
      </w:r>
      <w:bookmarkEnd w:id="62"/>
    </w:p>
    <w:p w:rsidR="004619E8" w:rsidRPr="00C2091E" w:rsidRDefault="004619E8" w:rsidP="00D72029">
      <w:pPr>
        <w:pStyle w:val="HeadlineABNT"/>
        <w:spacing w:line="276" w:lineRule="auto"/>
        <w:ind w:left="630"/>
        <w:rPr>
          <w:lang w:val="pt-BR"/>
        </w:rPr>
      </w:pPr>
    </w:p>
    <w:p w:rsidR="00C2091E" w:rsidRPr="004619E8" w:rsidRDefault="00C2091E" w:rsidP="00C2091E">
      <w:pPr>
        <w:rPr>
          <w:lang w:val="pt-BR"/>
        </w:rPr>
      </w:pPr>
      <w:r w:rsidRPr="00A86946">
        <w:rPr>
          <w:noProof/>
          <w:lang w:val="pt-BR" w:eastAsia="pt-BR"/>
        </w:rPr>
        <w:drawing>
          <wp:inline distT="0" distB="0" distL="0" distR="0">
            <wp:extent cx="5400040" cy="2213051"/>
            <wp:effectExtent l="19050" t="0" r="0" b="0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091E" w:rsidRPr="00C2091E" w:rsidRDefault="00C2091E" w:rsidP="00C2091E">
      <w:pPr>
        <w:rPr>
          <w:lang w:val="pt-BR"/>
        </w:rPr>
      </w:pPr>
      <w:r w:rsidRPr="00C2091E">
        <w:rPr>
          <w:lang w:val="pt-BR"/>
        </w:rPr>
        <w:t xml:space="preserve">TOTAL DOS IMPOSTOS A RECOLHER AOS COFRES PUBLICOS R$ 5.201.235,50 </w:t>
      </w:r>
    </w:p>
    <w:p w:rsidR="00C2091E" w:rsidRPr="00C2091E" w:rsidRDefault="00C2091E" w:rsidP="00C2091E">
      <w:pPr>
        <w:rPr>
          <w:lang w:val="pt-BR"/>
        </w:rPr>
      </w:pPr>
    </w:p>
    <w:p w:rsidR="00C2091E" w:rsidRDefault="00D72029" w:rsidP="00D72029">
      <w:pPr>
        <w:pStyle w:val="HeadlineABNT"/>
        <w:numPr>
          <w:ilvl w:val="1"/>
          <w:numId w:val="3"/>
        </w:numPr>
        <w:tabs>
          <w:tab w:val="left" w:pos="540"/>
        </w:tabs>
        <w:ind w:left="360"/>
        <w:rPr>
          <w:lang w:val="pt-BR"/>
        </w:rPr>
      </w:pPr>
      <w:bookmarkStart w:id="63" w:name="_Toc339406869"/>
      <w:r w:rsidRPr="00C2091E">
        <w:rPr>
          <w:lang w:val="pt-BR"/>
        </w:rPr>
        <w:lastRenderedPageBreak/>
        <w:t>Apuração Fiscal Da Empresa Com O Beneficio</w:t>
      </w:r>
      <w:bookmarkEnd w:id="63"/>
    </w:p>
    <w:p w:rsidR="00175048" w:rsidRPr="00C2091E" w:rsidRDefault="00175048" w:rsidP="00175048">
      <w:pPr>
        <w:pStyle w:val="HeadlineABNT"/>
        <w:rPr>
          <w:lang w:val="pt-BR"/>
        </w:rPr>
      </w:pPr>
    </w:p>
    <w:p w:rsidR="00C2091E" w:rsidRPr="004619E8" w:rsidRDefault="00C2091E" w:rsidP="00C2091E">
      <w:pPr>
        <w:rPr>
          <w:lang w:val="pt-BR"/>
        </w:rPr>
      </w:pPr>
      <w:r w:rsidRPr="00A86946">
        <w:rPr>
          <w:noProof/>
          <w:lang w:val="pt-BR" w:eastAsia="pt-BR"/>
        </w:rPr>
        <w:drawing>
          <wp:inline distT="0" distB="0" distL="0" distR="0">
            <wp:extent cx="5400040" cy="2323031"/>
            <wp:effectExtent l="19050" t="0" r="0" b="0"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2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091E" w:rsidRPr="00C2091E" w:rsidRDefault="00175048" w:rsidP="00C2091E">
      <w:pPr>
        <w:pStyle w:val="ABNT"/>
      </w:pPr>
      <w:r w:rsidRPr="00C2091E">
        <w:t xml:space="preserve">Total dos impostos a recolher aos cofres </w:t>
      </w:r>
      <w:r w:rsidR="0022754F" w:rsidRPr="00C2091E">
        <w:t>públicos</w:t>
      </w:r>
      <w:r>
        <w:t>R</w:t>
      </w:r>
      <w:r w:rsidRPr="00C2091E">
        <w:t xml:space="preserve">$ 0,00 </w:t>
      </w:r>
    </w:p>
    <w:p w:rsidR="00130AAF" w:rsidRDefault="00130AAF" w:rsidP="00D72029">
      <w:pPr>
        <w:pStyle w:val="ABNT"/>
        <w:spacing w:line="276" w:lineRule="auto"/>
        <w:ind w:firstLine="0"/>
      </w:pPr>
    </w:p>
    <w:p w:rsidR="00130AAF" w:rsidRPr="00130AAF" w:rsidRDefault="00130AAF" w:rsidP="00D72029">
      <w:pPr>
        <w:pStyle w:val="HeadlineABNT"/>
        <w:numPr>
          <w:ilvl w:val="0"/>
          <w:numId w:val="3"/>
        </w:numPr>
        <w:ind w:left="360"/>
        <w:rPr>
          <w:lang w:val="pt-BR"/>
        </w:rPr>
      </w:pPr>
      <w:bookmarkStart w:id="64" w:name="_Toc339406870"/>
      <w:r w:rsidRPr="00130AAF">
        <w:rPr>
          <w:lang w:val="pt-BR"/>
        </w:rPr>
        <w:t>COMPORTAMENTO ORGANIZACIONAL</w:t>
      </w:r>
      <w:bookmarkEnd w:id="64"/>
    </w:p>
    <w:p w:rsidR="00130AAF" w:rsidRPr="00130AAF" w:rsidRDefault="00130AAF" w:rsidP="00D72029">
      <w:pPr>
        <w:pStyle w:val="ABNT"/>
        <w:spacing w:line="276" w:lineRule="auto"/>
      </w:pPr>
    </w:p>
    <w:p w:rsidR="00130AAF" w:rsidRPr="00D72029" w:rsidRDefault="00130AAF" w:rsidP="00FE7915">
      <w:pPr>
        <w:pStyle w:val="ABNT"/>
        <w:ind w:firstLine="709"/>
      </w:pPr>
      <w:r w:rsidRPr="00130AAF">
        <w:t>O comportamento organizacional é um campo de estudos, que investiga</w:t>
      </w:r>
      <w:r w:rsidR="00EA2A8B">
        <w:t xml:space="preserve"> o comportamento de indivíduos em grupos e como</w:t>
      </w:r>
      <w:r w:rsidRPr="00D72029">
        <w:t xml:space="preserve">esses </w:t>
      </w:r>
      <w:r w:rsidR="00EA2A8B">
        <w:t xml:space="preserve">se postam </w:t>
      </w:r>
      <w:r w:rsidRPr="00D72029">
        <w:t>dentro das organizações</w:t>
      </w:r>
      <w:r w:rsidR="00EA2A8B">
        <w:t>;</w:t>
      </w:r>
      <w:r w:rsidR="0022754F" w:rsidRPr="00D72029">
        <w:t>utiliza</w:t>
      </w:r>
      <w:r w:rsidR="0022754F">
        <w:t>m-se</w:t>
      </w:r>
      <w:r w:rsidRPr="00D72029">
        <w:t xml:space="preserve"> os resultados obtidos através das pesquisas e estudos em</w:t>
      </w:r>
      <w:r w:rsidR="00EA2A8B">
        <w:t>prol d</w:t>
      </w:r>
      <w:r w:rsidRPr="00D72029">
        <w:t>a eficácia organizacional, aumentando a produtividade e a qualidade dos produtos.</w:t>
      </w:r>
    </w:p>
    <w:p w:rsidR="00130AAF" w:rsidRDefault="00D020E2" w:rsidP="00FE7915">
      <w:pPr>
        <w:pStyle w:val="ABNT"/>
        <w:ind w:firstLine="709"/>
      </w:pPr>
      <w:r>
        <w:t xml:space="preserve">A postura tomada pelos indivíduos relaciona-se diretamente com o nível da produtividade e qualidade da empresa, e o impacto dessa será na gestão financeira de maneira negativa ou positiva. </w:t>
      </w:r>
      <w:r w:rsidRPr="00A547C0">
        <w:t>P</w:t>
      </w:r>
      <w:r w:rsidR="00130AAF" w:rsidRPr="00A547C0">
        <w:t>artindo</w:t>
      </w:r>
      <w:r w:rsidR="00130AAF" w:rsidRPr="00D72029">
        <w:t xml:space="preserve"> dessa relação</w:t>
      </w:r>
      <w:r>
        <w:t>,</w:t>
      </w:r>
      <w:r w:rsidR="00A547C0">
        <w:t xml:space="preserve"> </w:t>
      </w:r>
      <w:r>
        <w:t>há</w:t>
      </w:r>
      <w:r w:rsidR="00130AAF" w:rsidRPr="00D72029">
        <w:t xml:space="preserve"> necessidade </w:t>
      </w:r>
      <w:r>
        <w:t xml:space="preserve">do </w:t>
      </w:r>
      <w:r w:rsidR="00130AAF" w:rsidRPr="00D72029">
        <w:t xml:space="preserve">contador como administrador financeiro e controlador dos custos da empresa, compreender a influência do comportamento organizacional com o resultado que a empresa vem alcançado, </w:t>
      </w:r>
      <w:r>
        <w:t>vinculando-o com as metas estabelecidas.</w:t>
      </w:r>
    </w:p>
    <w:p w:rsidR="001E4E18" w:rsidRDefault="001E4E18" w:rsidP="00FE7915">
      <w:pPr>
        <w:pStyle w:val="ABNT"/>
        <w:ind w:firstLine="709"/>
      </w:pPr>
      <w:r>
        <w:t xml:space="preserve">A partir desse pressuposto, o contador detém de recursos comportamentais de alta eficácia para elevar a sua produção. Uma ferramenta importante é a motivação – que é </w:t>
      </w:r>
      <w:r w:rsidRPr="00D72029">
        <w:t xml:space="preserve">responsável pela intensidade, direção e persistência dos esforços de uma pessoa </w:t>
      </w:r>
      <w:r>
        <w:t>no</w:t>
      </w:r>
      <w:r w:rsidRPr="00D72029">
        <w:t xml:space="preserve"> alcance de uma meta</w:t>
      </w:r>
      <w:r>
        <w:t xml:space="preserve"> – que estimula seus funcionários mediante:</w:t>
      </w:r>
    </w:p>
    <w:p w:rsidR="001E4E18" w:rsidRDefault="001E4E18" w:rsidP="00FE7915">
      <w:pPr>
        <w:pStyle w:val="ABNT"/>
        <w:numPr>
          <w:ilvl w:val="0"/>
          <w:numId w:val="19"/>
        </w:numPr>
        <w:ind w:left="993" w:hanging="328"/>
      </w:pPr>
      <w:r w:rsidRPr="00D72029">
        <w:t>participação na gestão e nas decisões operacionais da empresa, onde o empregado tem autonomia para estimular, elaborar e sugerir o crescim</w:t>
      </w:r>
      <w:r>
        <w:t>ento e o sucesso da organização;</w:t>
      </w:r>
    </w:p>
    <w:p w:rsidR="001E4E18" w:rsidRPr="00D72029" w:rsidRDefault="001E4E18" w:rsidP="00FE7915">
      <w:pPr>
        <w:pStyle w:val="ABNT"/>
        <w:numPr>
          <w:ilvl w:val="0"/>
          <w:numId w:val="19"/>
        </w:numPr>
        <w:ind w:left="993"/>
      </w:pPr>
      <w:r w:rsidRPr="00D72029">
        <w:t>o rodízio de tarefas entre a equipe, reduz o tédio e estimula o funcionário ao desenv</w:t>
      </w:r>
      <w:r>
        <w:t>olvimento de novos aprendizados;</w:t>
      </w:r>
    </w:p>
    <w:p w:rsidR="001E4E18" w:rsidRDefault="001E4E18" w:rsidP="00FE7915">
      <w:pPr>
        <w:pStyle w:val="ABNT"/>
        <w:numPr>
          <w:ilvl w:val="0"/>
          <w:numId w:val="19"/>
        </w:numPr>
        <w:ind w:left="1315" w:hanging="357"/>
      </w:pPr>
      <w:r>
        <w:lastRenderedPageBreak/>
        <w:t xml:space="preserve">Etc. </w:t>
      </w:r>
    </w:p>
    <w:p w:rsidR="00130AAF" w:rsidRPr="00D72029" w:rsidRDefault="007E4A1A" w:rsidP="00FE7915">
      <w:pPr>
        <w:pStyle w:val="ABNT"/>
        <w:ind w:firstLine="709"/>
      </w:pPr>
      <w:r>
        <w:t>P</w:t>
      </w:r>
      <w:r w:rsidR="00130AAF" w:rsidRPr="00D72029">
        <w:t>ortanto</w:t>
      </w:r>
      <w:r>
        <w:t>,</w:t>
      </w:r>
      <w:r w:rsidR="00AC3CCB">
        <w:t xml:space="preserve">no ambiente organizacional, o contador utiliza diversos </w:t>
      </w:r>
      <w:r w:rsidR="0022754F">
        <w:t>instrumentos</w:t>
      </w:r>
      <w:r w:rsidR="00AC3CCB">
        <w:t xml:space="preserve">, dentre eles o mais frequente é a motivação, </w:t>
      </w:r>
      <w:r w:rsidR="00C4138B">
        <w:t xml:space="preserve">para que os seus </w:t>
      </w:r>
      <w:r w:rsidR="00130AAF" w:rsidRPr="00D72029">
        <w:t>empregados</w:t>
      </w:r>
      <w:r w:rsidR="00C4138B">
        <w:t xml:space="preserve"> desenvolvam sentimentos que propiciarão</w:t>
      </w:r>
      <w:r w:rsidR="00130AAF" w:rsidRPr="00D72029">
        <w:t xml:space="preserve"> o crescimento </w:t>
      </w:r>
      <w:r w:rsidR="00C4138B">
        <w:t>tanto da qualidade quanto d</w:t>
      </w:r>
      <w:r w:rsidR="00130AAF" w:rsidRPr="00D72029">
        <w:t>a produtividade.</w:t>
      </w:r>
    </w:p>
    <w:p w:rsidR="00130AAF" w:rsidRPr="00130AAF" w:rsidRDefault="00130AAF" w:rsidP="00130AAF">
      <w:pPr>
        <w:rPr>
          <w:lang w:val="pt-BR"/>
        </w:rPr>
      </w:pPr>
    </w:p>
    <w:p w:rsidR="00130AAF" w:rsidRPr="00C01723" w:rsidRDefault="00130AAF" w:rsidP="00130AAF">
      <w:pPr>
        <w:pStyle w:val="ABNT"/>
        <w:ind w:firstLine="0"/>
      </w:pPr>
    </w:p>
    <w:p w:rsidR="00E821CF" w:rsidRDefault="00E821CF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E821CF">
      <w:pPr>
        <w:pStyle w:val="SemEspaamento"/>
        <w:rPr>
          <w:lang w:val="pt-BR"/>
        </w:rPr>
      </w:pPr>
    </w:p>
    <w:p w:rsidR="002D5666" w:rsidRDefault="002D5666" w:rsidP="002D5666">
      <w:pPr>
        <w:pStyle w:val="HeadlineABNT"/>
        <w:numPr>
          <w:ilvl w:val="0"/>
          <w:numId w:val="3"/>
        </w:numPr>
        <w:ind w:left="450"/>
        <w:rPr>
          <w:lang w:val="pt-BR"/>
        </w:rPr>
      </w:pPr>
      <w:bookmarkStart w:id="65" w:name="_Toc339406871"/>
      <w:r>
        <w:rPr>
          <w:lang w:val="pt-BR"/>
        </w:rPr>
        <w:lastRenderedPageBreak/>
        <w:t>CONCLUSÃO</w:t>
      </w:r>
      <w:bookmarkEnd w:id="65"/>
    </w:p>
    <w:p w:rsidR="002D5666" w:rsidRDefault="002D5666" w:rsidP="00A24D08">
      <w:pPr>
        <w:pStyle w:val="HeadlineABNT"/>
        <w:spacing w:line="276" w:lineRule="auto"/>
        <w:ind w:left="450"/>
        <w:rPr>
          <w:lang w:val="pt-BR"/>
        </w:rPr>
      </w:pPr>
    </w:p>
    <w:p w:rsidR="005E5AF8" w:rsidRDefault="002D5666" w:rsidP="002D5666">
      <w:pPr>
        <w:pStyle w:val="ABNT"/>
      </w:pPr>
      <w:r>
        <w:t xml:space="preserve">O profissional, em qualquer que seja a área de atuação, tem o dever de conhecer o contexto em que se insere. Esse caminho </w:t>
      </w:r>
      <w:r w:rsidR="00887EBA">
        <w:t xml:space="preserve">pode ser </w:t>
      </w:r>
      <w:r>
        <w:t xml:space="preserve">previamente visto nas instituições </w:t>
      </w:r>
      <w:r w:rsidR="00887EBA">
        <w:t>acadêmicas, as quais preparam o aluno para o mercado de trabalho, mediante as disciplinas teóricas e práticas.</w:t>
      </w:r>
      <w:r w:rsidR="00E2773A">
        <w:t xml:space="preserve"> Nesta pesquisa</w:t>
      </w:r>
      <w:r w:rsidR="0011312B">
        <w:t>, a responsabilidade dos componentes foi obter uma visão ampla e crítica frente os assuntos estudados e como tais se relacionariam</w:t>
      </w:r>
      <w:r w:rsidR="00E2773A">
        <w:t xml:space="preserve">. </w:t>
      </w:r>
    </w:p>
    <w:p w:rsidR="0074496A" w:rsidRDefault="0074496A" w:rsidP="0074496A">
      <w:pPr>
        <w:pStyle w:val="ABNT"/>
      </w:pPr>
      <w:r>
        <w:t xml:space="preserve">Em primeiro lugar, </w:t>
      </w:r>
      <w:r w:rsidR="00BF6AE7">
        <w:t xml:space="preserve">ao se deparar com uma </w:t>
      </w:r>
      <w:r>
        <w:t xml:space="preserve">demonstração financeira, </w:t>
      </w:r>
      <w:r w:rsidR="00BF6AE7">
        <w:t xml:space="preserve">cabe ao competente avaliar a utilidade da mesma </w:t>
      </w:r>
      <w:r>
        <w:t>considerando o objetivo de seu estudo.</w:t>
      </w:r>
      <w:r w:rsidR="00BF6AE7">
        <w:t xml:space="preserve"> Nesse caso, o ponto chave foi apresentar a </w:t>
      </w:r>
      <w:r w:rsidR="001859EF">
        <w:t xml:space="preserve">possibilidade de uma ou várias demonstrações </w:t>
      </w:r>
      <w:r w:rsidR="00FE51C0">
        <w:t>servirem de ferramentas para análises econômica, tributária, gerencial (mais clara no ponto de planejamento)</w:t>
      </w:r>
      <w:r w:rsidR="00A547C0">
        <w:t>, entre outras.</w:t>
      </w:r>
      <w:r w:rsidR="00BF6AE7">
        <w:t xml:space="preserve"> </w:t>
      </w:r>
    </w:p>
    <w:p w:rsidR="005545E3" w:rsidRDefault="00FE51C0" w:rsidP="00FD0B17">
      <w:pPr>
        <w:pStyle w:val="ABNT"/>
      </w:pPr>
      <w:r>
        <w:t>Dentre as</w:t>
      </w:r>
      <w:r w:rsidR="00555596">
        <w:t xml:space="preserve"> demonstrações apresentadas nos anexos deste trabalho </w:t>
      </w:r>
      <w:r w:rsidR="00DF24A1">
        <w:t xml:space="preserve">(disponibilizadas pelas empresas </w:t>
      </w:r>
      <w:r w:rsidR="00DF24A1" w:rsidRPr="005064C2">
        <w:t>Camargo Côrrea Desenvolvimento Imobiliário</w:t>
      </w:r>
      <w:r w:rsidR="00DF24A1">
        <w:t xml:space="preserve">, Usiminas, </w:t>
      </w:r>
      <w:r w:rsidR="00DF24A1" w:rsidRPr="00616DB1">
        <w:t>ArcelorMittal</w:t>
      </w:r>
      <w:r w:rsidR="00DF24A1">
        <w:t>, PREVIG)</w:t>
      </w:r>
      <w:r w:rsidR="00993273">
        <w:t>,</w:t>
      </w:r>
      <w:r w:rsidR="00DF24A1">
        <w:t xml:space="preserve"> </w:t>
      </w:r>
      <w:r w:rsidR="00993273">
        <w:t>o</w:t>
      </w:r>
      <w:r w:rsidR="00DF24A1">
        <w:t xml:space="preserve">bserva-se que a Demonstração do Valor Adicionado </w:t>
      </w:r>
      <w:r w:rsidR="00FD0B17">
        <w:t xml:space="preserve">(DVA) </w:t>
      </w:r>
      <w:r w:rsidR="00DF24A1">
        <w:t xml:space="preserve">foi a mais utilizada, pois aloca mais claramente as informações, </w:t>
      </w:r>
      <w:r w:rsidR="00993273">
        <w:t xml:space="preserve">facilitando que </w:t>
      </w:r>
      <w:r w:rsidR="00DF24A1">
        <w:t>tanto o contador quanto o economista, administrador, etc., identifi</w:t>
      </w:r>
      <w:r w:rsidR="00993273">
        <w:t>quem com rapidez e eficiência</w:t>
      </w:r>
      <w:r w:rsidR="00DF24A1">
        <w:t xml:space="preserve"> os pontos que determinam a situação econômico-financeira da empresa</w:t>
      </w:r>
      <w:r w:rsidR="00073D29">
        <w:t xml:space="preserve">, podendo assim </w:t>
      </w:r>
      <w:r w:rsidR="00A57F3F">
        <w:t>focá-los e melho</w:t>
      </w:r>
      <w:r w:rsidR="00073D29">
        <w:t xml:space="preserve">rá-los. </w:t>
      </w:r>
      <w:r w:rsidR="00FD0B17" w:rsidRPr="005545E3">
        <w:t>Além da DVA</w:t>
      </w:r>
      <w:r w:rsidR="005545E3" w:rsidRPr="005545E3">
        <w:t>,</w:t>
      </w:r>
      <w:r w:rsidR="00FD0B17" w:rsidRPr="005545E3">
        <w:t xml:space="preserve"> utilizou-se também a</w:t>
      </w:r>
      <w:r w:rsidR="005545E3" w:rsidRPr="005545E3">
        <w:t xml:space="preserve"> Demonstração de Fluxo de Caixa</w:t>
      </w:r>
      <w:r w:rsidR="00FD0B17" w:rsidRPr="005545E3">
        <w:t xml:space="preserve"> </w:t>
      </w:r>
      <w:r w:rsidR="005545E3" w:rsidRPr="005545E3">
        <w:t>(</w:t>
      </w:r>
      <w:r w:rsidR="00FD0B17" w:rsidRPr="005545E3">
        <w:t>DFC</w:t>
      </w:r>
      <w:r w:rsidR="005545E3" w:rsidRPr="005545E3">
        <w:t>)</w:t>
      </w:r>
      <w:r w:rsidR="00FD0B17" w:rsidRPr="005545E3">
        <w:t xml:space="preserve"> e outras específicas, como a Demonstração da Mutação do Ativo Líquido por Planos de Benefícios</w:t>
      </w:r>
      <w:r w:rsidR="005545E3" w:rsidRPr="005545E3">
        <w:t xml:space="preserve">, disposta para a Contabilidade de </w:t>
      </w:r>
      <w:r w:rsidR="005545E3" w:rsidRPr="00B95B2D">
        <w:t>Contabilidade de Entidades de Previdência Privada e Seguradoras</w:t>
      </w:r>
      <w:r w:rsidR="005545E3">
        <w:t xml:space="preserve">. </w:t>
      </w:r>
    </w:p>
    <w:p w:rsidR="005E5AF8" w:rsidRDefault="00FD0B17" w:rsidP="002D5666">
      <w:pPr>
        <w:pStyle w:val="ABNT"/>
      </w:pPr>
      <w:r>
        <w:t xml:space="preserve"> </w:t>
      </w:r>
      <w:r w:rsidR="005545E3">
        <w:t>No entanto, independente da demonstração</w:t>
      </w:r>
      <w:r>
        <w:t xml:space="preserve"> o objetivo de cada um</w:t>
      </w:r>
      <w:r w:rsidR="00F815B6">
        <w:t>a</w:t>
      </w:r>
      <w:r>
        <w:t xml:space="preserve"> delas </w:t>
      </w:r>
      <w:r w:rsidR="00F815B6">
        <w:t xml:space="preserve">permanece o mesmo, que </w:t>
      </w:r>
      <w:r>
        <w:t xml:space="preserve">é fornecer dados que representam a realidade da empresa, os quais serão manipulados conforme a necessidade do usuário. </w:t>
      </w:r>
    </w:p>
    <w:p w:rsidR="005E5AF8" w:rsidRDefault="005E5AF8" w:rsidP="002D5666">
      <w:pPr>
        <w:pStyle w:val="ABNT"/>
      </w:pPr>
    </w:p>
    <w:p w:rsidR="005E5AF8" w:rsidRDefault="005E5AF8" w:rsidP="002D5666">
      <w:pPr>
        <w:pStyle w:val="ABNT"/>
      </w:pPr>
    </w:p>
    <w:p w:rsidR="005E5AF8" w:rsidRDefault="005E5AF8" w:rsidP="002D5666">
      <w:pPr>
        <w:pStyle w:val="ABNT"/>
      </w:pPr>
    </w:p>
    <w:p w:rsidR="005E5AF8" w:rsidRDefault="005E5AF8" w:rsidP="002D5666">
      <w:pPr>
        <w:pStyle w:val="ABNT"/>
      </w:pPr>
    </w:p>
    <w:p w:rsidR="005E5AF8" w:rsidRDefault="005E5AF8" w:rsidP="002D5666">
      <w:pPr>
        <w:pStyle w:val="ABNT"/>
      </w:pPr>
    </w:p>
    <w:p w:rsidR="005E5AF8" w:rsidRDefault="005E5AF8" w:rsidP="002D5666">
      <w:pPr>
        <w:pStyle w:val="ABNT"/>
      </w:pPr>
    </w:p>
    <w:p w:rsidR="005E5AF8" w:rsidRDefault="005E5AF8" w:rsidP="002D5666">
      <w:pPr>
        <w:pStyle w:val="ABNT"/>
      </w:pPr>
    </w:p>
    <w:p w:rsidR="005E5AF8" w:rsidRDefault="005E5AF8" w:rsidP="002D5666">
      <w:pPr>
        <w:pStyle w:val="ABNT"/>
      </w:pPr>
    </w:p>
    <w:p w:rsidR="00B12A3E" w:rsidRPr="00B12A3E" w:rsidRDefault="00B12A3E" w:rsidP="00BB28A1">
      <w:pPr>
        <w:pStyle w:val="HeadlineABNT"/>
        <w:jc w:val="center"/>
        <w:rPr>
          <w:lang w:val="pt-BR"/>
        </w:rPr>
      </w:pPr>
      <w:bookmarkStart w:id="66" w:name="_Toc339406872"/>
      <w:r w:rsidRPr="00B12A3E">
        <w:rPr>
          <w:lang w:val="pt-BR"/>
        </w:rPr>
        <w:lastRenderedPageBreak/>
        <w:t>BIBLIOGRAFIA</w:t>
      </w:r>
      <w:bookmarkEnd w:id="66"/>
    </w:p>
    <w:p w:rsidR="00B12A3E" w:rsidRPr="007C7929" w:rsidRDefault="00B12A3E" w:rsidP="00B12A3E">
      <w:pPr>
        <w:pStyle w:val="ABNTRules"/>
        <w:spacing w:line="240" w:lineRule="auto"/>
        <w:ind w:firstLine="0"/>
      </w:pPr>
    </w:p>
    <w:p w:rsidR="00B12A3E" w:rsidRPr="00B12A3E" w:rsidRDefault="00B12A3E" w:rsidP="00B12A3E">
      <w:pPr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B12A3E">
        <w:rPr>
          <w:rFonts w:ascii="Times New Roman" w:hAnsi="Times New Roman" w:cs="Times New Roman"/>
          <w:bCs/>
          <w:sz w:val="24"/>
          <w:szCs w:val="24"/>
          <w:lang w:val="pt-BR"/>
        </w:rPr>
        <w:t>Autor Desconhecido.</w:t>
      </w:r>
      <w:r w:rsidRPr="00B12A3E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Incentivos À Inovação Tecnológica. </w:t>
      </w:r>
      <w:r w:rsidRPr="00B12A3E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Disponível em: </w:t>
      </w:r>
      <w:r w:rsidRPr="00B12A3E">
        <w:rPr>
          <w:rFonts w:ascii="Times New Roman" w:hAnsi="Times New Roman" w:cs="Times New Roman"/>
          <w:sz w:val="24"/>
          <w:szCs w:val="24"/>
          <w:lang w:val="pt-BR"/>
        </w:rPr>
        <w:t>&lt;</w:t>
      </w:r>
      <w:hyperlink r:id="rId13" w:history="1">
        <w:r w:rsidRPr="00B12A3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pt-BR"/>
          </w:rPr>
          <w:t>http://www.portaltributario.com.br/guia/ded_tecnologica.html</w:t>
        </w:r>
      </w:hyperlink>
      <w:r w:rsidRPr="00B12A3E">
        <w:rPr>
          <w:rFonts w:ascii="Times New Roman" w:hAnsi="Times New Roman" w:cs="Times New Roman"/>
          <w:sz w:val="24"/>
          <w:szCs w:val="24"/>
          <w:lang w:val="pt-BR"/>
        </w:rPr>
        <w:t>&gt;. Acesso em: 10 out. 2012</w:t>
      </w:r>
    </w:p>
    <w:p w:rsidR="00B12A3E" w:rsidRPr="00B12A3E" w:rsidRDefault="00B12A3E" w:rsidP="00B12A3E">
      <w:pPr>
        <w:pStyle w:val="ABNTRules"/>
        <w:spacing w:line="240" w:lineRule="auto"/>
        <w:ind w:firstLine="0"/>
        <w:rPr>
          <w:spacing w:val="30"/>
          <w:bdr w:val="none" w:sz="0" w:space="0" w:color="auto" w:frame="1"/>
        </w:rPr>
      </w:pPr>
    </w:p>
    <w:p w:rsidR="00B12A3E" w:rsidRPr="00B12A3E" w:rsidRDefault="00B12A3E" w:rsidP="00B12A3E">
      <w:pPr>
        <w:pStyle w:val="ABNTRules"/>
        <w:spacing w:line="240" w:lineRule="auto"/>
        <w:ind w:firstLine="0"/>
      </w:pPr>
      <w:r w:rsidRPr="00B12A3E">
        <w:rPr>
          <w:spacing w:val="30"/>
          <w:bdr w:val="none" w:sz="0" w:space="0" w:color="auto" w:frame="1"/>
        </w:rPr>
        <w:t>COMITÊDE PRONUNCIAMENTOS CONTÁBEIS. CPC 03 (R</w:t>
      </w:r>
      <w:r w:rsidRPr="00B12A3E">
        <w:rPr>
          <w:bdr w:val="none" w:sz="0" w:space="0" w:color="auto" w:frame="1"/>
        </w:rPr>
        <w:t xml:space="preserve">2). </w:t>
      </w:r>
      <w:r w:rsidRPr="00B12A3E">
        <w:rPr>
          <w:b/>
          <w:bdr w:val="none" w:sz="0" w:space="0" w:color="auto" w:frame="1"/>
        </w:rPr>
        <w:t>Demonstração dos Fluxos de Caixa.</w:t>
      </w:r>
      <w:r w:rsidRPr="00B12A3E">
        <w:rPr>
          <w:bdr w:val="none" w:sz="0" w:space="0" w:color="auto" w:frame="1"/>
        </w:rPr>
        <w:t xml:space="preserve"> Aprovado pela Resolução CFC 1.296/10.</w:t>
      </w:r>
    </w:p>
    <w:p w:rsidR="00B12A3E" w:rsidRPr="00B12A3E" w:rsidRDefault="00B12A3E" w:rsidP="00B12A3E">
      <w:pPr>
        <w:pStyle w:val="ABNTRules"/>
        <w:spacing w:line="240" w:lineRule="auto"/>
        <w:ind w:firstLine="0"/>
      </w:pPr>
    </w:p>
    <w:p w:rsidR="00B12A3E" w:rsidRPr="00B12A3E" w:rsidRDefault="00B12A3E" w:rsidP="00B12A3E">
      <w:pPr>
        <w:pStyle w:val="ABNTRules"/>
        <w:spacing w:line="240" w:lineRule="auto"/>
        <w:ind w:firstLine="0"/>
        <w:rPr>
          <w:bdr w:val="none" w:sz="0" w:space="0" w:color="auto" w:frame="1"/>
        </w:rPr>
      </w:pPr>
      <w:r w:rsidRPr="00B12A3E">
        <w:rPr>
          <w:spacing w:val="15"/>
          <w:bdr w:val="none" w:sz="0" w:space="0" w:color="auto" w:frame="1"/>
        </w:rPr>
        <w:t>COMITÊ DE PRONUNCIAMENTOS CONTÁBEIS (CPC-09)</w:t>
      </w:r>
      <w:r w:rsidRPr="00B12A3E">
        <w:rPr>
          <w:bdr w:val="none" w:sz="0" w:space="0" w:color="auto" w:frame="1"/>
        </w:rPr>
        <w:t xml:space="preserve">. </w:t>
      </w:r>
      <w:r w:rsidRPr="00B12A3E">
        <w:rPr>
          <w:b/>
          <w:bdr w:val="none" w:sz="0" w:space="0" w:color="auto" w:frame="1"/>
        </w:rPr>
        <w:t>Demonstração do Valor Adicionado</w:t>
      </w:r>
      <w:r w:rsidRPr="00B12A3E">
        <w:rPr>
          <w:bdr w:val="none" w:sz="0" w:space="0" w:color="auto" w:frame="1"/>
        </w:rPr>
        <w:t>. Aprovado pela Resolução CFC 1.138/08; 1.296/10 e Deliberação CVM557/08.</w:t>
      </w:r>
    </w:p>
    <w:p w:rsidR="00B12A3E" w:rsidRPr="00B12A3E" w:rsidRDefault="00B12A3E" w:rsidP="00B12A3E">
      <w:pPr>
        <w:pStyle w:val="ABNTRules"/>
        <w:spacing w:line="240" w:lineRule="auto"/>
        <w:ind w:firstLine="0"/>
      </w:pPr>
    </w:p>
    <w:p w:rsidR="00B12A3E" w:rsidRPr="00B12A3E" w:rsidRDefault="00B12A3E" w:rsidP="00B12A3E">
      <w:pPr>
        <w:pStyle w:val="ABNTRules"/>
        <w:spacing w:line="240" w:lineRule="auto"/>
        <w:ind w:firstLine="0"/>
      </w:pPr>
      <w:r w:rsidRPr="00B12A3E">
        <w:t xml:space="preserve">FUNDAÇÃO JOÃO PINHEIRO. </w:t>
      </w:r>
      <w:r w:rsidRPr="00B12A3E">
        <w:rPr>
          <w:b/>
        </w:rPr>
        <w:t>PIB – Produto Interno Bruto de Minas Gerais.</w:t>
      </w:r>
      <w:r w:rsidRPr="00B12A3E">
        <w:t xml:space="preserve"> Disponível em: &lt;</w:t>
      </w:r>
      <w:hyperlink r:id="rId14" w:history="1">
        <w:r w:rsidRPr="00B12A3E">
          <w:rPr>
            <w:rStyle w:val="Hyperlink"/>
            <w:rFonts w:cs="Times New Roman"/>
            <w:color w:val="auto"/>
            <w:szCs w:val="24"/>
            <w:u w:val="none"/>
          </w:rPr>
          <w:t>http://www.fjp.gov.br/index.php/analise-economica/pib-produto-interno-bruto-de-minas-gerais</w:t>
        </w:r>
      </w:hyperlink>
      <w:r w:rsidRPr="00B12A3E">
        <w:rPr>
          <w:rStyle w:val="Hyperlink"/>
          <w:rFonts w:cs="Times New Roman"/>
          <w:color w:val="auto"/>
          <w:szCs w:val="24"/>
          <w:u w:val="none"/>
        </w:rPr>
        <w:t>&gt;</w:t>
      </w:r>
      <w:r w:rsidRPr="00B12A3E">
        <w:t>. Acesso em: 12 out. 2012.</w:t>
      </w:r>
    </w:p>
    <w:p w:rsidR="00B12A3E" w:rsidRPr="00B12A3E" w:rsidRDefault="00B12A3E" w:rsidP="00B12A3E">
      <w:pPr>
        <w:pStyle w:val="ABNTRules"/>
        <w:spacing w:line="240" w:lineRule="auto"/>
        <w:ind w:firstLine="0"/>
      </w:pPr>
    </w:p>
    <w:p w:rsidR="00B12A3E" w:rsidRPr="00B12A3E" w:rsidRDefault="00B12A3E" w:rsidP="00B12A3E">
      <w:pPr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B12A3E">
        <w:rPr>
          <w:rFonts w:ascii="Times New Roman" w:hAnsi="Times New Roman" w:cs="Times New Roman"/>
          <w:sz w:val="24"/>
          <w:szCs w:val="24"/>
          <w:lang w:val="pt-BR"/>
        </w:rPr>
        <w:t>GONTIJO, Cibele Sebba; ARAÚJO, Clézia Freitas dos Santos</w:t>
      </w:r>
      <w:r w:rsidRPr="00B12A3E">
        <w:rPr>
          <w:rFonts w:ascii="Times New Roman" w:hAnsi="Times New Roman" w:cs="Times New Roman"/>
          <w:b/>
          <w:sz w:val="24"/>
          <w:szCs w:val="24"/>
          <w:lang w:val="pt-BR"/>
        </w:rPr>
        <w:t xml:space="preserve">. Responsabilidade Fiscal:  Adequação Orçamentária E Financeira Da Despesa. </w:t>
      </w:r>
      <w:r w:rsidRPr="00B12A3E">
        <w:rPr>
          <w:rFonts w:ascii="Times New Roman" w:hAnsi="Times New Roman" w:cs="Times New Roman"/>
          <w:sz w:val="24"/>
          <w:szCs w:val="24"/>
          <w:lang w:val="pt-BR"/>
        </w:rPr>
        <w:t>Disponível em: &lt;</w:t>
      </w:r>
      <w:hyperlink r:id="rId15" w:history="1">
        <w:r w:rsidRPr="00B12A3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pt-BR"/>
          </w:rPr>
          <w:t>http://portal2.tcu.gov.br/portal/pls/portal/docs/2054430.PDF</w:t>
        </w:r>
      </w:hyperlink>
      <w:r w:rsidRPr="00B12A3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pt-BR"/>
        </w:rPr>
        <w:t>&gt;. Acesso em: 10 out. 2012.</w:t>
      </w:r>
    </w:p>
    <w:p w:rsidR="00B12A3E" w:rsidRPr="00B12A3E" w:rsidRDefault="00B12A3E" w:rsidP="00B12A3E">
      <w:pPr>
        <w:pStyle w:val="SemEspaamento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:rsidR="00B12A3E" w:rsidRPr="00B12A3E" w:rsidRDefault="00B12A3E" w:rsidP="00B12A3E">
      <w:pPr>
        <w:pStyle w:val="ABNTRules"/>
        <w:spacing w:line="240" w:lineRule="auto"/>
        <w:ind w:firstLine="0"/>
        <w:rPr>
          <w:rStyle w:val="Hyperlink"/>
          <w:rFonts w:cs="Times New Roman"/>
          <w:color w:val="auto"/>
          <w:szCs w:val="24"/>
          <w:u w:val="none"/>
        </w:rPr>
      </w:pPr>
      <w:r w:rsidRPr="00B12A3E">
        <w:t xml:space="preserve">IBGE. </w:t>
      </w:r>
      <w:r w:rsidRPr="00B12A3E">
        <w:rPr>
          <w:b/>
        </w:rPr>
        <w:t>Contas Nacionais Trimestrais – Indicadores de Volume e Valores Correntes.</w:t>
      </w:r>
      <w:r w:rsidRPr="00B12A3E">
        <w:t xml:space="preserve"> Disponível em: &lt;</w:t>
      </w:r>
      <w:hyperlink r:id="rId16" w:history="1">
        <w:r w:rsidRPr="00B12A3E">
          <w:rPr>
            <w:rStyle w:val="Hyperlink"/>
            <w:rFonts w:cs="Times New Roman"/>
            <w:color w:val="auto"/>
            <w:szCs w:val="24"/>
            <w:u w:val="none"/>
          </w:rPr>
          <w:t>http://www.ibge.gov.br/home/presidencia/noticias/noticia_impressao.php?id_noticia=1830</w:t>
        </w:r>
      </w:hyperlink>
      <w:r w:rsidRPr="00B12A3E">
        <w:rPr>
          <w:rStyle w:val="Hyperlink"/>
          <w:rFonts w:cs="Times New Roman"/>
          <w:color w:val="auto"/>
          <w:szCs w:val="24"/>
          <w:u w:val="none"/>
        </w:rPr>
        <w:t xml:space="preserve">.&gt;e </w:t>
      </w:r>
      <w:r w:rsidR="0029216C">
        <w:t>&lt;C:\Users\User\Desktop\IBGE</w:t>
      </w:r>
      <w:r w:rsidRPr="00B12A3E">
        <w:t>ContasNaci</w:t>
      </w:r>
      <w:r w:rsidR="0029216C">
        <w:t>onais</w:t>
      </w:r>
      <w:r w:rsidRPr="00B12A3E">
        <w:t>Trimestrais-Indicadores</w:t>
      </w:r>
      <w:r w:rsidR="0029216C">
        <w:t>deVolumee</w:t>
      </w:r>
      <w:r w:rsidRPr="00B12A3E">
        <w:t xml:space="preserve">ValoresCorrentes.mht.&gt;. </w:t>
      </w:r>
      <w:r w:rsidRPr="00B12A3E">
        <w:rPr>
          <w:rStyle w:val="Hyperlink"/>
          <w:rFonts w:cs="Times New Roman"/>
          <w:color w:val="auto"/>
          <w:szCs w:val="24"/>
          <w:u w:val="none"/>
        </w:rPr>
        <w:t>Acesso em: 12 out. 2012.</w:t>
      </w:r>
    </w:p>
    <w:p w:rsidR="00B12A3E" w:rsidRPr="00B12A3E" w:rsidRDefault="00B12A3E" w:rsidP="00B12A3E">
      <w:pPr>
        <w:pStyle w:val="ABNTRules"/>
        <w:spacing w:line="240" w:lineRule="auto"/>
        <w:ind w:firstLine="0"/>
        <w:rPr>
          <w:rStyle w:val="Hyperlink"/>
          <w:rFonts w:cs="Times New Roman"/>
          <w:color w:val="auto"/>
          <w:szCs w:val="24"/>
          <w:u w:val="none"/>
        </w:rPr>
      </w:pPr>
    </w:p>
    <w:p w:rsidR="00B12A3E" w:rsidRPr="00B12A3E" w:rsidRDefault="00B12A3E" w:rsidP="00B12A3E">
      <w:pPr>
        <w:tabs>
          <w:tab w:val="left" w:pos="709"/>
        </w:tabs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B12A3E">
        <w:rPr>
          <w:rFonts w:ascii="Times New Roman" w:hAnsi="Times New Roman" w:cs="Times New Roman"/>
          <w:sz w:val="24"/>
          <w:szCs w:val="24"/>
          <w:lang w:val="pt-BR"/>
        </w:rPr>
        <w:t xml:space="preserve">IUDICIBUS, Sergio de, Martins, Eliseu, GELBCKE, Ernesto Rubens. </w:t>
      </w:r>
      <w:r w:rsidRPr="00B12A3E">
        <w:rPr>
          <w:rFonts w:ascii="Times New Roman" w:hAnsi="Times New Roman" w:cs="Times New Roman"/>
          <w:b/>
          <w:sz w:val="24"/>
          <w:szCs w:val="24"/>
          <w:lang w:val="pt-BR"/>
        </w:rPr>
        <w:t>Manual de Contabilidade Societária: Aplicável a Todas as Sociedades</w:t>
      </w:r>
      <w:r w:rsidRPr="00B12A3E">
        <w:rPr>
          <w:rFonts w:ascii="Times New Roman" w:hAnsi="Times New Roman" w:cs="Times New Roman"/>
          <w:sz w:val="24"/>
          <w:szCs w:val="24"/>
          <w:lang w:val="pt-BR"/>
        </w:rPr>
        <w:t>. São Paulo: Ed. Atlas, 2003.</w:t>
      </w:r>
    </w:p>
    <w:p w:rsidR="00B12A3E" w:rsidRPr="00B12A3E" w:rsidRDefault="00B12A3E" w:rsidP="00B12A3E">
      <w:pPr>
        <w:pStyle w:val="SemEspaamento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:rsidR="00B12A3E" w:rsidRPr="00B12A3E" w:rsidRDefault="00B12A3E" w:rsidP="00B12A3E">
      <w:pPr>
        <w:pStyle w:val="ABNTRules"/>
        <w:spacing w:line="240" w:lineRule="auto"/>
        <w:ind w:firstLine="0"/>
        <w:rPr>
          <w:rFonts w:eastAsia="Times New Roman" w:cs="Times New Roman"/>
          <w:szCs w:val="24"/>
          <w:lang w:eastAsia="pt-BR"/>
        </w:rPr>
      </w:pPr>
      <w:r w:rsidRPr="00B12A3E">
        <w:t xml:space="preserve">JusBrasil. </w:t>
      </w:r>
      <w:r w:rsidRPr="00B12A3E">
        <w:rPr>
          <w:b/>
        </w:rPr>
        <w:t xml:space="preserve">Art. 170 da Constituição Federal de 88. </w:t>
      </w:r>
      <w:r w:rsidRPr="00B12A3E">
        <w:rPr>
          <w:rFonts w:eastAsia="Times New Roman" w:cs="Times New Roman"/>
          <w:szCs w:val="24"/>
          <w:lang w:eastAsia="pt-BR"/>
        </w:rPr>
        <w:t>Disponível em: &lt;</w:t>
      </w:r>
      <w:hyperlink r:id="rId17" w:history="1">
        <w:r w:rsidRPr="00B12A3E">
          <w:rPr>
            <w:rStyle w:val="Hyperlink"/>
            <w:rFonts w:eastAsia="Times New Roman" w:cs="Times New Roman"/>
            <w:color w:val="auto"/>
            <w:szCs w:val="24"/>
            <w:u w:val="none"/>
            <w:lang w:eastAsia="pt-BR"/>
          </w:rPr>
          <w:t>http://www.jusbrasil.com.br/legislacao/anotada/2470467/art-170-da-constituicao-federal-de-88</w:t>
        </w:r>
      </w:hyperlink>
      <w:r w:rsidRPr="00B12A3E">
        <w:rPr>
          <w:rStyle w:val="Hyperlink"/>
          <w:rFonts w:eastAsia="Times New Roman" w:cs="Times New Roman"/>
          <w:color w:val="auto"/>
          <w:szCs w:val="24"/>
          <w:u w:val="none"/>
          <w:lang w:eastAsia="pt-BR"/>
        </w:rPr>
        <w:t>&gt;</w:t>
      </w:r>
      <w:r w:rsidRPr="00B12A3E">
        <w:rPr>
          <w:rFonts w:eastAsia="Times New Roman" w:cs="Times New Roman"/>
          <w:szCs w:val="24"/>
          <w:lang w:eastAsia="pt-BR"/>
        </w:rPr>
        <w:t>. Acesso em: 14 out. 2012.</w:t>
      </w:r>
    </w:p>
    <w:p w:rsidR="00B12A3E" w:rsidRPr="00B12A3E" w:rsidRDefault="00B12A3E" w:rsidP="00B12A3E">
      <w:pPr>
        <w:pStyle w:val="SemEspaamento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:rsidR="00B12A3E" w:rsidRPr="00B12A3E" w:rsidRDefault="00B12A3E" w:rsidP="00B12A3E">
      <w:pPr>
        <w:pStyle w:val="ABNTRules"/>
        <w:spacing w:line="240" w:lineRule="auto"/>
        <w:ind w:firstLine="0"/>
      </w:pPr>
      <w:r w:rsidRPr="00B12A3E">
        <w:t xml:space="preserve">MARION, José Carlos. </w:t>
      </w:r>
      <w:r w:rsidRPr="00B12A3E">
        <w:rPr>
          <w:b/>
        </w:rPr>
        <w:t>Contabilidade Empresarial</w:t>
      </w:r>
      <w:r w:rsidRPr="00B12A3E">
        <w:t>. 15. Ed. São Paulo: Atlas, 2009.</w:t>
      </w:r>
    </w:p>
    <w:p w:rsidR="00B12A3E" w:rsidRPr="00B12A3E" w:rsidRDefault="00B12A3E" w:rsidP="00B12A3E">
      <w:pPr>
        <w:pStyle w:val="ABNTRules"/>
        <w:spacing w:line="240" w:lineRule="auto"/>
        <w:ind w:firstLine="0"/>
        <w:rPr>
          <w:rFonts w:eastAsia="Times New Roman"/>
          <w:lang w:eastAsia="pt-BR"/>
        </w:rPr>
      </w:pPr>
    </w:p>
    <w:p w:rsidR="00B12A3E" w:rsidRPr="00B12A3E" w:rsidRDefault="00B12A3E" w:rsidP="00B12A3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B12A3E">
        <w:rPr>
          <w:rFonts w:ascii="Times New Roman" w:hAnsi="Times New Roman" w:cs="Times New Roman"/>
          <w:sz w:val="24"/>
          <w:szCs w:val="24"/>
          <w:lang w:val="pt-BR"/>
        </w:rPr>
        <w:t xml:space="preserve">MINISTÉRIO DA FAZENDA SECRETARIA DO TESOURO NACIONAL. Manual De Contabilidade Aplicada Ao Setor Público. </w:t>
      </w:r>
      <w:r w:rsidRPr="00B12A3E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Parte I – Procedimentos Contábeis </w:t>
      </w:r>
    </w:p>
    <w:p w:rsidR="00B12A3E" w:rsidRPr="00B12A3E" w:rsidRDefault="00B12A3E" w:rsidP="00B12A3E">
      <w:pPr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B12A3E">
        <w:rPr>
          <w:rFonts w:ascii="Times New Roman" w:hAnsi="Times New Roman" w:cs="Times New Roman"/>
          <w:b/>
          <w:sz w:val="24"/>
          <w:szCs w:val="24"/>
          <w:lang w:val="pt-BR"/>
        </w:rPr>
        <w:t>Orçamentários</w:t>
      </w:r>
      <w:r w:rsidRPr="00B12A3E">
        <w:rPr>
          <w:rFonts w:ascii="Times New Roman" w:hAnsi="Times New Roman" w:cs="Times New Roman"/>
          <w:sz w:val="24"/>
          <w:szCs w:val="24"/>
          <w:lang w:val="pt-BR"/>
        </w:rPr>
        <w:t>. Disponível em: &lt;</w:t>
      </w:r>
      <w:hyperlink r:id="rId18" w:history="1">
        <w:r w:rsidRPr="00B12A3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pt-BR"/>
          </w:rPr>
          <w:t>http://www.stn.fazenda.gov.br/legislacao/download/contabilidade/ParteI_PCO.pdf</w:t>
        </w:r>
      </w:hyperlink>
      <w:r w:rsidRPr="00B12A3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pt-BR"/>
        </w:rPr>
        <w:t>&gt;. Acesso em: 10 out. 2012.</w:t>
      </w:r>
    </w:p>
    <w:p w:rsidR="00B12A3E" w:rsidRPr="00B12A3E" w:rsidRDefault="00B12A3E" w:rsidP="00B12A3E">
      <w:pPr>
        <w:pStyle w:val="ABNTRules"/>
        <w:spacing w:line="240" w:lineRule="auto"/>
        <w:ind w:firstLine="0"/>
        <w:rPr>
          <w:bdr w:val="none" w:sz="0" w:space="0" w:color="auto" w:frame="1"/>
        </w:rPr>
      </w:pPr>
    </w:p>
    <w:p w:rsidR="00B12A3E" w:rsidRPr="00B12A3E" w:rsidRDefault="00B12A3E" w:rsidP="00B12A3E">
      <w:pPr>
        <w:pStyle w:val="ABNTRules"/>
        <w:spacing w:line="240" w:lineRule="auto"/>
        <w:ind w:firstLine="0"/>
      </w:pPr>
      <w:r w:rsidRPr="00B12A3E">
        <w:rPr>
          <w:bdr w:val="none" w:sz="0" w:space="0" w:color="auto" w:frame="1"/>
        </w:rPr>
        <w:t>Normas e procedimentos de contabilidade - Demonstração dos fluxos de caixa. IBRACON nº 20 de 30/04/1999</w:t>
      </w:r>
    </w:p>
    <w:p w:rsidR="00B12A3E" w:rsidRPr="00B12A3E" w:rsidRDefault="00B12A3E" w:rsidP="00B12A3E">
      <w:pPr>
        <w:pStyle w:val="SemEspaamento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:rsidR="00B12A3E" w:rsidRPr="00B12A3E" w:rsidRDefault="00B12A3E" w:rsidP="00B12A3E">
      <w:pPr>
        <w:pStyle w:val="ABNTRules"/>
        <w:spacing w:line="240" w:lineRule="auto"/>
        <w:ind w:firstLine="0"/>
      </w:pPr>
      <w:r w:rsidRPr="00B12A3E">
        <w:rPr>
          <w:rStyle w:val="Forte"/>
          <w:b w:val="0"/>
          <w:bCs w:val="0"/>
        </w:rPr>
        <w:t xml:space="preserve">PRESIDÊNCIA DA REPÚBLICA. </w:t>
      </w:r>
      <w:r w:rsidRPr="00B12A3E">
        <w:rPr>
          <w:b/>
        </w:rPr>
        <w:t>Lei 11.638 de 28 de dezembro de 2007</w:t>
      </w:r>
      <w:r w:rsidRPr="00B12A3E">
        <w:t>. Disponível em: &lt;</w:t>
      </w:r>
      <w:hyperlink r:id="rId19" w:history="1">
        <w:r w:rsidRPr="00B12A3E">
          <w:rPr>
            <w:rStyle w:val="Hyperlink"/>
            <w:color w:val="auto"/>
            <w:u w:val="none"/>
          </w:rPr>
          <w:t>http://www.planalto.gov.br/ccivil_03/_ato2007-2010/2007/lei/l11638.htm</w:t>
        </w:r>
      </w:hyperlink>
      <w:r w:rsidRPr="00B12A3E">
        <w:t>&gt;. Acesso em: 15 out. 2012.</w:t>
      </w:r>
    </w:p>
    <w:p w:rsidR="00B12A3E" w:rsidRPr="00B12A3E" w:rsidRDefault="00B12A3E" w:rsidP="00B12A3E">
      <w:pPr>
        <w:pStyle w:val="SemEspaamento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:rsidR="00B12A3E" w:rsidRPr="00B12A3E" w:rsidRDefault="00B12A3E" w:rsidP="00B12A3E">
      <w:pPr>
        <w:pStyle w:val="SemEspaamento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B12A3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lastRenderedPageBreak/>
        <w:t>PREVIG. Disponível em: &lt;</w:t>
      </w:r>
      <w:hyperlink r:id="rId20" w:history="1">
        <w:r w:rsidRPr="00B12A3E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pt-BR" w:eastAsia="pt-BR"/>
          </w:rPr>
          <w:t>http://www.previg.org.br/</w:t>
        </w:r>
      </w:hyperlink>
      <w:r w:rsidRPr="00B12A3E">
        <w:rPr>
          <w:rStyle w:val="Hyperlink"/>
          <w:rFonts w:ascii="Times New Roman" w:eastAsia="Times New Roman" w:hAnsi="Times New Roman" w:cs="Times New Roman"/>
          <w:color w:val="auto"/>
          <w:sz w:val="24"/>
          <w:szCs w:val="24"/>
          <w:u w:val="none"/>
          <w:lang w:val="pt-BR" w:eastAsia="pt-BR"/>
        </w:rPr>
        <w:t>&gt;</w:t>
      </w:r>
      <w:r w:rsidRPr="00B12A3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. Acesso em: 14 out. 2012</w:t>
      </w:r>
    </w:p>
    <w:p w:rsidR="00B12A3E" w:rsidRPr="00B12A3E" w:rsidRDefault="00B12A3E" w:rsidP="00B12A3E">
      <w:pPr>
        <w:pStyle w:val="SemEspaamento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:rsidR="00B12A3E" w:rsidRPr="00B12A3E" w:rsidRDefault="00B12A3E" w:rsidP="00B12A3E">
      <w:pPr>
        <w:pStyle w:val="SemEspaamento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B12A3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PREVIG. </w:t>
      </w:r>
      <w:r w:rsidRPr="00B12A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Relatório Anual de 2011.</w:t>
      </w:r>
      <w:r w:rsidRPr="00B12A3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Disponível em: &lt;</w:t>
      </w:r>
      <w:hyperlink r:id="rId21" w:history="1">
        <w:r w:rsidRPr="00B12A3E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pt-BR" w:eastAsia="pt-BR"/>
          </w:rPr>
          <w:t>http://www.previg.org.br/MyFiles/relatorioanual/relatorio-anual-2011-pagina-individual.pdf</w:t>
        </w:r>
      </w:hyperlink>
      <w:r w:rsidRPr="00B12A3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.&gt; Acesso em: 14 out. 2012.</w:t>
      </w:r>
    </w:p>
    <w:p w:rsidR="00B12A3E" w:rsidRPr="00B12A3E" w:rsidRDefault="00B12A3E" w:rsidP="00B12A3E">
      <w:pPr>
        <w:pStyle w:val="ABNTRules"/>
        <w:spacing w:line="240" w:lineRule="auto"/>
        <w:ind w:firstLine="0"/>
      </w:pPr>
    </w:p>
    <w:p w:rsidR="00A54227" w:rsidRPr="00555596" w:rsidRDefault="00A54227" w:rsidP="00B12A3E">
      <w:pPr>
        <w:spacing w:line="240" w:lineRule="auto"/>
        <w:rPr>
          <w:rFonts w:ascii="Times New Roman" w:hAnsi="Times New Roman" w:cs="Times New Roman"/>
          <w:sz w:val="24"/>
          <w:lang w:val="pt-BR"/>
        </w:rPr>
      </w:pPr>
      <w:r w:rsidRPr="00555596">
        <w:rPr>
          <w:rFonts w:ascii="Times New Roman" w:hAnsi="Times New Roman" w:cs="Times New Roman"/>
          <w:sz w:val="24"/>
          <w:lang w:val="pt-BR"/>
        </w:rPr>
        <w:t xml:space="preserve">ROBBINS, Stephen P. </w:t>
      </w:r>
      <w:r w:rsidR="00555596" w:rsidRPr="00555596">
        <w:rPr>
          <w:rFonts w:ascii="Times New Roman" w:hAnsi="Times New Roman" w:cs="Times New Roman"/>
          <w:b/>
          <w:sz w:val="24"/>
          <w:lang w:val="pt-BR"/>
        </w:rPr>
        <w:t>Comportamento organizacional</w:t>
      </w:r>
      <w:r w:rsidRPr="00555596">
        <w:rPr>
          <w:rFonts w:ascii="Times New Roman" w:hAnsi="Times New Roman" w:cs="Times New Roman"/>
          <w:sz w:val="24"/>
          <w:lang w:val="pt-BR"/>
        </w:rPr>
        <w:t xml:space="preserve">. 14 ed. São Paulo: Pearson </w:t>
      </w:r>
      <w:r w:rsidR="00555596" w:rsidRPr="00555596">
        <w:rPr>
          <w:rFonts w:ascii="Times New Roman" w:hAnsi="Times New Roman" w:cs="Times New Roman"/>
          <w:sz w:val="24"/>
          <w:lang w:val="pt-BR"/>
        </w:rPr>
        <w:t>Prendesse</w:t>
      </w:r>
      <w:r w:rsidRPr="00555596">
        <w:rPr>
          <w:rFonts w:ascii="Times New Roman" w:hAnsi="Times New Roman" w:cs="Times New Roman"/>
          <w:sz w:val="24"/>
          <w:lang w:val="pt-BR"/>
        </w:rPr>
        <w:t xml:space="preserve"> Hall, 2010.</w:t>
      </w:r>
    </w:p>
    <w:p w:rsidR="00A54227" w:rsidRDefault="00A54227" w:rsidP="00B12A3E">
      <w:pPr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B12A3E" w:rsidRPr="00B12A3E" w:rsidRDefault="00B12A3E" w:rsidP="00B12A3E">
      <w:pPr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B12A3E">
        <w:rPr>
          <w:rFonts w:ascii="Times New Roman" w:hAnsi="Times New Roman" w:cs="Times New Roman"/>
          <w:sz w:val="24"/>
          <w:szCs w:val="24"/>
          <w:lang w:val="pt-BR"/>
        </w:rPr>
        <w:t xml:space="preserve">RODRIGUES, Luiz Fernando Rocha. Incentivos Fiscais. </w:t>
      </w:r>
      <w:r w:rsidRPr="00B12A3E">
        <w:rPr>
          <w:rFonts w:ascii="Times New Roman" w:hAnsi="Times New Roman" w:cs="Times New Roman"/>
          <w:b/>
          <w:sz w:val="24"/>
          <w:szCs w:val="24"/>
          <w:lang w:val="pt-BR"/>
        </w:rPr>
        <w:t>Uma Reflexão Sobre A Baixa Utilização Em Projetos S</w:t>
      </w:r>
      <w:r w:rsidRPr="00B12A3E">
        <w:rPr>
          <w:rFonts w:ascii="Times New Roman" w:hAnsi="Times New Roman" w:cs="Times New Roman"/>
          <w:sz w:val="24"/>
          <w:szCs w:val="24"/>
          <w:lang w:val="pt-BR"/>
        </w:rPr>
        <w:t>ocioculturais. Disponível em: &lt;</w:t>
      </w:r>
      <w:hyperlink r:id="rId22" w:history="1">
        <w:r w:rsidRPr="00B12A3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pt-BR"/>
          </w:rPr>
          <w:t>http://www.cereja.org.br/site/_shared%5CFiles%5Ccer_tesesDissertacoesTccs%5Canx%5C20100408131727_IF_luizfernandorrodrigues.pdf</w:t>
        </w:r>
      </w:hyperlink>
      <w:r w:rsidRPr="00B12A3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pt-BR"/>
        </w:rPr>
        <w:t>&gt;. Acesso em: 12 out. 2012.</w:t>
      </w:r>
    </w:p>
    <w:p w:rsidR="00B12A3E" w:rsidRPr="00B12A3E" w:rsidRDefault="00B12A3E" w:rsidP="00B12A3E">
      <w:pPr>
        <w:pStyle w:val="SemEspaamento"/>
        <w:rPr>
          <w:rFonts w:ascii="Times New Roman" w:hAnsi="Times New Roman" w:cs="Times New Roman"/>
          <w:sz w:val="24"/>
          <w:szCs w:val="24"/>
          <w:lang w:val="pt-BR"/>
        </w:rPr>
      </w:pPr>
    </w:p>
    <w:p w:rsidR="00B12A3E" w:rsidRPr="00B12A3E" w:rsidRDefault="00B12A3E" w:rsidP="00B12A3E">
      <w:pPr>
        <w:pStyle w:val="SemEspaamento"/>
        <w:rPr>
          <w:rFonts w:ascii="Times New Roman" w:hAnsi="Times New Roman" w:cs="Times New Roman"/>
          <w:sz w:val="24"/>
          <w:szCs w:val="24"/>
          <w:lang w:val="pt-BR"/>
        </w:rPr>
      </w:pPr>
      <w:r w:rsidRPr="00B12A3E">
        <w:rPr>
          <w:rFonts w:ascii="Times New Roman" w:hAnsi="Times New Roman" w:cs="Times New Roman"/>
          <w:sz w:val="24"/>
          <w:szCs w:val="24"/>
          <w:lang w:val="pt-BR"/>
        </w:rPr>
        <w:t xml:space="preserve">SANTOS, Arivaldo dos. Demonstração do Valor Adicionado: como elaborar e analisar a DVA. In: SANTOS, Arivaldo dos. </w:t>
      </w:r>
      <w:r w:rsidRPr="00B12A3E">
        <w:rPr>
          <w:rFonts w:ascii="Times New Roman" w:hAnsi="Times New Roman" w:cs="Times New Roman"/>
          <w:b/>
          <w:sz w:val="24"/>
          <w:szCs w:val="24"/>
          <w:lang w:val="pt-BR"/>
        </w:rPr>
        <w:t xml:space="preserve">Utilização do Valor Adicionado Como Instrumento de Análise. </w:t>
      </w:r>
      <w:r w:rsidRPr="00B12A3E">
        <w:rPr>
          <w:rFonts w:ascii="Times New Roman" w:hAnsi="Times New Roman" w:cs="Times New Roman"/>
          <w:sz w:val="24"/>
          <w:szCs w:val="24"/>
          <w:lang w:val="pt-BR"/>
        </w:rPr>
        <w:t xml:space="preserve">São Paulo: Atlas, 2003, Cap. 4, p. 219-228. </w:t>
      </w:r>
    </w:p>
    <w:p w:rsidR="00B12A3E" w:rsidRPr="00B12A3E" w:rsidRDefault="00B12A3E" w:rsidP="00B12A3E">
      <w:pPr>
        <w:pStyle w:val="SemEspaamento"/>
        <w:rPr>
          <w:rFonts w:ascii="Times New Roman" w:hAnsi="Times New Roman" w:cs="Times New Roman"/>
          <w:sz w:val="24"/>
          <w:szCs w:val="24"/>
          <w:lang w:val="pt-BR"/>
        </w:rPr>
      </w:pPr>
    </w:p>
    <w:p w:rsidR="00B12A3E" w:rsidRPr="00B12A3E" w:rsidRDefault="00B12A3E" w:rsidP="00B12A3E">
      <w:pPr>
        <w:pStyle w:val="SemEspaamen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12A3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SOUZA JUNIOR, Geraldo de Assis; SOARES, Norma Saraiva. </w:t>
      </w:r>
      <w:r w:rsidRPr="00B12A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Apostila de Contabilidade de Entidades de Previdência Privada e Seguradoras. </w:t>
      </w:r>
    </w:p>
    <w:p w:rsidR="00B12A3E" w:rsidRPr="00B12A3E" w:rsidRDefault="00B12A3E" w:rsidP="00B12A3E">
      <w:pPr>
        <w:pStyle w:val="ABNTRules"/>
        <w:spacing w:line="240" w:lineRule="auto"/>
        <w:ind w:firstLine="0"/>
      </w:pPr>
    </w:p>
    <w:p w:rsidR="00B12A3E" w:rsidRPr="00B12A3E" w:rsidRDefault="00B12A3E" w:rsidP="00B12A3E">
      <w:pPr>
        <w:pStyle w:val="ABNTRules"/>
        <w:spacing w:line="240" w:lineRule="auto"/>
        <w:ind w:firstLine="0"/>
      </w:pPr>
      <w:r w:rsidRPr="00B12A3E">
        <w:t>USIMINAS. Gestão de Pessoas</w:t>
      </w:r>
      <w:r w:rsidRPr="00B12A3E">
        <w:rPr>
          <w:b/>
        </w:rPr>
        <w:t xml:space="preserve">. A consolidação e o fortalecimento de políticas e práticas de desenvolvimento humano marcaram 2011. A comunicação transparente e o investimento em treinamento e carreira também foram destaques. </w:t>
      </w:r>
      <w:r w:rsidRPr="00B12A3E">
        <w:t>Disponível em: &lt;</w:t>
      </w:r>
      <w:hyperlink r:id="rId23" w:history="1">
        <w:r w:rsidRPr="00B12A3E">
          <w:rPr>
            <w:rStyle w:val="Hyperlink"/>
            <w:rFonts w:cs="Times New Roman"/>
            <w:color w:val="auto"/>
            <w:szCs w:val="24"/>
            <w:u w:val="none"/>
          </w:rPr>
          <w:t>http://www.usiminas.com/irj/servlet/prt/portal/prtroot/pcd!3aportal_content!2fusiminas!2fcomum!2fconteudo!2fiviews!2fbr.com.su.i.iview.JAI_iView_Publica_do_KM/prtl_est/Corporativo/RelatorioDeSustentabilidade/2011/port/ra/11.htm</w:t>
        </w:r>
      </w:hyperlink>
      <w:r w:rsidRPr="00B12A3E">
        <w:rPr>
          <w:rStyle w:val="Hyperlink"/>
          <w:rFonts w:cs="Times New Roman"/>
          <w:color w:val="auto"/>
          <w:szCs w:val="24"/>
          <w:u w:val="none"/>
        </w:rPr>
        <w:t>.&gt; Acesso em: 12 out de 2012.</w:t>
      </w:r>
    </w:p>
    <w:p w:rsidR="00B12A3E" w:rsidRDefault="00B12A3E" w:rsidP="002D5666">
      <w:pPr>
        <w:pStyle w:val="ABNT"/>
      </w:pPr>
    </w:p>
    <w:p w:rsidR="002B1309" w:rsidRDefault="002B1309" w:rsidP="002B1309">
      <w:pPr>
        <w:pStyle w:val="HeadlineABNT"/>
        <w:jc w:val="center"/>
        <w:rPr>
          <w:lang w:val="pt-BR"/>
        </w:rPr>
      </w:pPr>
    </w:p>
    <w:p w:rsidR="002B1309" w:rsidRDefault="002B1309" w:rsidP="002B1309">
      <w:pPr>
        <w:pStyle w:val="HeadlineABNT"/>
        <w:jc w:val="center"/>
        <w:rPr>
          <w:lang w:val="pt-BR"/>
        </w:rPr>
      </w:pPr>
    </w:p>
    <w:p w:rsidR="002B1309" w:rsidRDefault="002B1309" w:rsidP="002B1309">
      <w:pPr>
        <w:pStyle w:val="ABNT"/>
      </w:pPr>
      <w:bookmarkStart w:id="67" w:name="_GoBack"/>
      <w:bookmarkEnd w:id="67"/>
    </w:p>
    <w:p w:rsidR="002B1309" w:rsidRDefault="002B1309" w:rsidP="002B1309">
      <w:pPr>
        <w:pStyle w:val="ABNT"/>
      </w:pPr>
    </w:p>
    <w:p w:rsidR="002E0D8F" w:rsidRDefault="002E0D8F" w:rsidP="002B1309">
      <w:pPr>
        <w:pStyle w:val="ABNT"/>
      </w:pPr>
    </w:p>
    <w:p w:rsidR="002E0D8F" w:rsidRDefault="002E0D8F" w:rsidP="002B1309">
      <w:pPr>
        <w:pStyle w:val="ABNT"/>
      </w:pPr>
    </w:p>
    <w:p w:rsidR="002B1309" w:rsidRDefault="002B1309" w:rsidP="002B1309">
      <w:pPr>
        <w:pStyle w:val="ABNT"/>
      </w:pPr>
    </w:p>
    <w:p w:rsidR="002B1309" w:rsidRDefault="002B1309" w:rsidP="002B1309">
      <w:pPr>
        <w:pStyle w:val="ABNT"/>
      </w:pPr>
    </w:p>
    <w:p w:rsidR="002B1309" w:rsidRDefault="002B1309" w:rsidP="002B1309">
      <w:pPr>
        <w:pStyle w:val="ABNT"/>
      </w:pPr>
    </w:p>
    <w:p w:rsidR="002B1309" w:rsidRDefault="002B1309" w:rsidP="002B1309">
      <w:pPr>
        <w:pStyle w:val="ABNT"/>
      </w:pPr>
    </w:p>
    <w:p w:rsidR="002B1309" w:rsidRDefault="002B1309" w:rsidP="002B1309">
      <w:pPr>
        <w:pStyle w:val="ABNT"/>
      </w:pPr>
    </w:p>
    <w:p w:rsidR="002B1309" w:rsidRDefault="002B1309" w:rsidP="002B1309">
      <w:pPr>
        <w:pStyle w:val="ABNT"/>
      </w:pPr>
    </w:p>
    <w:p w:rsidR="002B1309" w:rsidRPr="00BB28A1" w:rsidRDefault="002B1309" w:rsidP="002B1309">
      <w:pPr>
        <w:pStyle w:val="HeadlineABNT"/>
        <w:jc w:val="center"/>
        <w:rPr>
          <w:lang w:val="pt-BR"/>
        </w:rPr>
      </w:pPr>
      <w:bookmarkStart w:id="68" w:name="_Toc339406873"/>
      <w:r w:rsidRPr="00BB28A1">
        <w:rPr>
          <w:lang w:val="pt-BR"/>
        </w:rPr>
        <w:lastRenderedPageBreak/>
        <w:t>ANEXO 1</w:t>
      </w:r>
      <w:bookmarkEnd w:id="68"/>
    </w:p>
    <w:p w:rsidR="002B1309" w:rsidRPr="00BB28A1" w:rsidRDefault="002B1309" w:rsidP="002B1309">
      <w:pPr>
        <w:pStyle w:val="HeadlineABNT"/>
        <w:jc w:val="center"/>
        <w:rPr>
          <w:lang w:val="pt-BR"/>
        </w:rPr>
      </w:pPr>
    </w:p>
    <w:p w:rsidR="00EA1B45" w:rsidRDefault="002B1309" w:rsidP="002B1309">
      <w:pPr>
        <w:pStyle w:val="ABNT"/>
        <w:spacing w:line="240" w:lineRule="auto"/>
        <w:ind w:firstLine="0"/>
        <w:jc w:val="left"/>
        <w:rPr>
          <w:b/>
        </w:rPr>
      </w:pPr>
      <w:r w:rsidRPr="002B1309">
        <w:rPr>
          <w:b/>
        </w:rPr>
        <w:t>Demonstrações dos Fluxos de Caixa - Camargo Côrrea Desenvolvimento Imobiliário</w:t>
      </w:r>
    </w:p>
    <w:p w:rsidR="002B1309" w:rsidRPr="002B1309" w:rsidRDefault="002B1309" w:rsidP="002B1309">
      <w:pPr>
        <w:pStyle w:val="ABNT"/>
        <w:spacing w:line="240" w:lineRule="auto"/>
        <w:ind w:firstLine="0"/>
        <w:jc w:val="left"/>
        <w:rPr>
          <w:b/>
        </w:rPr>
      </w:pPr>
    </w:p>
    <w:p w:rsidR="005E5AF8" w:rsidRPr="005E5AF8" w:rsidRDefault="005E5AF8" w:rsidP="005E5AF8">
      <w:pPr>
        <w:pStyle w:val="ABNT"/>
        <w:ind w:firstLine="0"/>
        <w:rPr>
          <w:b/>
        </w:rPr>
      </w:pPr>
      <w:r w:rsidRPr="005E5AF8">
        <w:rPr>
          <w:b/>
          <w:noProof/>
          <w:lang w:eastAsia="pt-BR"/>
        </w:rPr>
        <w:drawing>
          <wp:inline distT="0" distB="0" distL="0" distR="0">
            <wp:extent cx="5610225" cy="74104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grayscl/>
                      <a:lum bright="-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08" r="2368"/>
                    <a:stretch/>
                  </pic:blipFill>
                  <pic:spPr bwMode="auto">
                    <a:xfrm>
                      <a:off x="0" y="0"/>
                      <a:ext cx="56102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AF8" w:rsidRPr="00EA1B45" w:rsidRDefault="0022754F" w:rsidP="00EA1B45">
      <w:pPr>
        <w:pStyle w:val="ABNT"/>
        <w:ind w:firstLine="0"/>
        <w:jc w:val="left"/>
        <w:rPr>
          <w:b/>
        </w:rPr>
      </w:pPr>
      <w:r w:rsidRPr="00EA1B45">
        <w:rPr>
          <w:b/>
        </w:rPr>
        <w:lastRenderedPageBreak/>
        <w:t>Demonstrações</w:t>
      </w:r>
      <w:r w:rsidR="00EA1B45" w:rsidRPr="00EA1B45">
        <w:rPr>
          <w:b/>
        </w:rPr>
        <w:t xml:space="preserve"> Do Valor Adicionado</w:t>
      </w:r>
      <w:r w:rsidR="00EA1B45">
        <w:rPr>
          <w:b/>
        </w:rPr>
        <w:t xml:space="preserve"> – Camargo Côrrea Desenvolvimento Imobiliário</w:t>
      </w:r>
    </w:p>
    <w:p w:rsidR="005E5AF8" w:rsidRPr="00BA3D9C" w:rsidRDefault="005E5AF8" w:rsidP="005E5A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5753100" cy="70866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grayscl/>
                      <a:lum bright="-20000" contrast="20000"/>
                    </a:blip>
                    <a:srcRect t="1326"/>
                    <a:stretch/>
                  </pic:blipFill>
                  <pic:spPr bwMode="auto">
                    <a:xfrm>
                      <a:off x="0" y="0"/>
                      <a:ext cx="57531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1CF" w:rsidRDefault="00E821CF" w:rsidP="00616DB1">
      <w:pPr>
        <w:pStyle w:val="ABNT"/>
        <w:rPr>
          <w:highlight w:val="blue"/>
        </w:rPr>
      </w:pPr>
    </w:p>
    <w:p w:rsidR="00D20244" w:rsidRDefault="00D20244" w:rsidP="00616DB1">
      <w:pPr>
        <w:pStyle w:val="ABNT"/>
        <w:rPr>
          <w:highlight w:val="blue"/>
        </w:rPr>
      </w:pPr>
    </w:p>
    <w:p w:rsidR="00D20244" w:rsidRDefault="00D20244" w:rsidP="00616DB1">
      <w:pPr>
        <w:pStyle w:val="ABNT"/>
        <w:rPr>
          <w:highlight w:val="blue"/>
        </w:rPr>
      </w:pPr>
    </w:p>
    <w:p w:rsidR="00D20244" w:rsidRDefault="00D20244" w:rsidP="00D20244">
      <w:pPr>
        <w:pStyle w:val="HeadlineABNT"/>
        <w:jc w:val="center"/>
      </w:pPr>
      <w:bookmarkStart w:id="69" w:name="_Toc339406874"/>
      <w:r w:rsidRPr="00D20244">
        <w:lastRenderedPageBreak/>
        <w:t>ANEXO</w:t>
      </w:r>
      <w:r>
        <w:t xml:space="preserve"> 2</w:t>
      </w:r>
      <w:bookmarkEnd w:id="69"/>
    </w:p>
    <w:p w:rsidR="00D20244" w:rsidRPr="00D20244" w:rsidRDefault="00D20244" w:rsidP="00D20244">
      <w:pPr>
        <w:pStyle w:val="HeadlineABNT"/>
        <w:jc w:val="center"/>
      </w:pPr>
    </w:p>
    <w:p w:rsidR="00D20244" w:rsidRDefault="00D20244" w:rsidP="00D20244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val="pt-BR" w:eastAsia="pt-BR"/>
        </w:rPr>
        <w:drawing>
          <wp:inline distT="0" distB="0" distL="0" distR="0">
            <wp:extent cx="5400675" cy="6867525"/>
            <wp:effectExtent l="0" t="0" r="9525" b="9525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b="3091"/>
                    <a:stretch/>
                  </pic:blipFill>
                  <pic:spPr bwMode="auto">
                    <a:xfrm>
                      <a:off x="0" y="0"/>
                      <a:ext cx="5400040" cy="686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244" w:rsidRDefault="00D20244" w:rsidP="00D20244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:rsidR="00D20244" w:rsidRDefault="00D20244" w:rsidP="00D20244">
      <w:pPr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:rsidR="00D20244" w:rsidRDefault="00D20244" w:rsidP="00D20244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:rsidR="00D20244" w:rsidRPr="009B487A" w:rsidRDefault="00D20244" w:rsidP="00D20244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val="pt-BR" w:eastAsia="pt-BR"/>
        </w:rPr>
        <w:lastRenderedPageBreak/>
        <w:drawing>
          <wp:inline distT="0" distB="0" distL="0" distR="0">
            <wp:extent cx="5419725" cy="7172325"/>
            <wp:effectExtent l="19050" t="0" r="9525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44" w:rsidRDefault="00D20244" w:rsidP="00D20244">
      <w:pP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br w:type="page"/>
      </w:r>
    </w:p>
    <w:p w:rsidR="00D20244" w:rsidRDefault="00D20244" w:rsidP="00D20244">
      <w:pPr>
        <w:spacing w:before="100" w:beforeAutospacing="1" w:after="100" w:afterAutospacing="1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pt-BR" w:eastAsia="pt-BR"/>
        </w:rPr>
        <w:lastRenderedPageBreak/>
        <w:drawing>
          <wp:inline distT="0" distB="0" distL="0" distR="0">
            <wp:extent cx="5391150" cy="6638925"/>
            <wp:effectExtent l="19050" t="0" r="0" b="0"/>
            <wp:docPr id="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44" w:rsidRDefault="00D20244" w:rsidP="00D20244">
      <w:pPr>
        <w:spacing w:before="100" w:beforeAutospacing="1" w:after="100" w:afterAutospacing="1"/>
        <w:rPr>
          <w:rFonts w:ascii="Arial" w:hAnsi="Arial" w:cs="Arial"/>
          <w:color w:val="000000" w:themeColor="text1"/>
          <w:sz w:val="24"/>
          <w:szCs w:val="24"/>
        </w:rPr>
      </w:pPr>
    </w:p>
    <w:p w:rsidR="00D20244" w:rsidRDefault="00D20244" w:rsidP="00D20244">
      <w:pPr>
        <w:spacing w:before="100" w:beforeAutospacing="1" w:after="100" w:afterAutospacing="1"/>
        <w:rPr>
          <w:rFonts w:ascii="Arial" w:hAnsi="Arial" w:cs="Arial"/>
          <w:color w:val="000000" w:themeColor="text1"/>
          <w:sz w:val="24"/>
          <w:szCs w:val="24"/>
        </w:rPr>
      </w:pPr>
    </w:p>
    <w:p w:rsidR="00D20244" w:rsidRDefault="00D20244" w:rsidP="00D20244">
      <w:pPr>
        <w:spacing w:before="100" w:beforeAutospacing="1" w:after="100" w:afterAutospacing="1"/>
        <w:rPr>
          <w:rFonts w:ascii="Arial" w:hAnsi="Arial" w:cs="Arial"/>
          <w:color w:val="000000" w:themeColor="text1"/>
          <w:sz w:val="24"/>
          <w:szCs w:val="24"/>
        </w:rPr>
      </w:pPr>
    </w:p>
    <w:p w:rsidR="00D20244" w:rsidRDefault="00D20244" w:rsidP="00D20244">
      <w:pPr>
        <w:spacing w:before="100" w:beforeAutospacing="1" w:after="100" w:afterAutospacing="1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pt-BR" w:eastAsia="pt-BR"/>
        </w:rPr>
        <w:lastRenderedPageBreak/>
        <w:drawing>
          <wp:inline distT="0" distB="0" distL="0" distR="0">
            <wp:extent cx="5295900" cy="6000750"/>
            <wp:effectExtent l="19050" t="0" r="0" b="0"/>
            <wp:docPr id="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44" w:rsidRDefault="00D20244" w:rsidP="00D20244">
      <w:pPr>
        <w:spacing w:before="100" w:beforeAutospacing="1" w:after="100" w:afterAutospacing="1"/>
        <w:rPr>
          <w:rFonts w:ascii="Arial" w:hAnsi="Arial" w:cs="Arial"/>
          <w:color w:val="000000" w:themeColor="text1"/>
          <w:sz w:val="24"/>
          <w:szCs w:val="24"/>
        </w:rPr>
      </w:pPr>
    </w:p>
    <w:p w:rsidR="00D20244" w:rsidRDefault="00D20244" w:rsidP="00D20244">
      <w:pPr>
        <w:spacing w:before="100" w:beforeAutospacing="1" w:after="100" w:afterAutospacing="1"/>
        <w:rPr>
          <w:rFonts w:ascii="Arial" w:hAnsi="Arial" w:cs="Arial"/>
          <w:color w:val="000000" w:themeColor="text1"/>
          <w:sz w:val="24"/>
          <w:szCs w:val="24"/>
        </w:rPr>
      </w:pPr>
    </w:p>
    <w:p w:rsidR="00D20244" w:rsidRDefault="00D20244" w:rsidP="00D20244">
      <w:pPr>
        <w:spacing w:before="100" w:beforeAutospacing="1" w:after="100" w:afterAutospacing="1"/>
        <w:rPr>
          <w:rFonts w:ascii="Arial" w:hAnsi="Arial" w:cs="Arial"/>
          <w:color w:val="000000" w:themeColor="text1"/>
          <w:sz w:val="24"/>
          <w:szCs w:val="24"/>
        </w:rPr>
      </w:pPr>
    </w:p>
    <w:p w:rsidR="00D20244" w:rsidRDefault="00D20244" w:rsidP="00D20244">
      <w:pPr>
        <w:spacing w:before="100" w:beforeAutospacing="1" w:after="100" w:afterAutospacing="1"/>
        <w:rPr>
          <w:rFonts w:ascii="Arial" w:hAnsi="Arial" w:cs="Arial"/>
          <w:color w:val="000000" w:themeColor="text1"/>
          <w:sz w:val="24"/>
          <w:szCs w:val="24"/>
        </w:rPr>
      </w:pPr>
    </w:p>
    <w:p w:rsidR="00D20244" w:rsidRDefault="00D20244" w:rsidP="00D20244">
      <w:pPr>
        <w:spacing w:before="100" w:beforeAutospacing="1" w:after="100" w:afterAutospacing="1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pt-BR" w:eastAsia="pt-BR"/>
        </w:rPr>
        <w:lastRenderedPageBreak/>
        <w:drawing>
          <wp:inline distT="0" distB="0" distL="0" distR="0">
            <wp:extent cx="5257800" cy="7096125"/>
            <wp:effectExtent l="19050" t="0" r="0" b="0"/>
            <wp:docPr id="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44" w:rsidRDefault="00D20244" w:rsidP="00D20244">
      <w:pPr>
        <w:spacing w:before="100" w:beforeAutospacing="1" w:after="100" w:afterAutospacing="1"/>
        <w:rPr>
          <w:rFonts w:ascii="Arial" w:hAnsi="Arial" w:cs="Arial"/>
          <w:color w:val="000000" w:themeColor="text1"/>
          <w:sz w:val="24"/>
          <w:szCs w:val="24"/>
        </w:rPr>
      </w:pPr>
    </w:p>
    <w:p w:rsidR="00D20244" w:rsidRDefault="00D20244" w:rsidP="00D20244">
      <w:pPr>
        <w:spacing w:before="100" w:beforeAutospacing="1" w:after="100" w:afterAutospacing="1"/>
        <w:rPr>
          <w:rFonts w:ascii="Arial" w:hAnsi="Arial" w:cs="Arial"/>
          <w:color w:val="000000" w:themeColor="text1"/>
          <w:sz w:val="24"/>
          <w:szCs w:val="24"/>
        </w:rPr>
      </w:pPr>
    </w:p>
    <w:p w:rsidR="00D20244" w:rsidRDefault="00D20244" w:rsidP="00D20244">
      <w:pPr>
        <w:spacing w:before="100" w:beforeAutospacing="1" w:after="100" w:afterAutospacing="1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pt-BR" w:eastAsia="pt-BR"/>
        </w:rPr>
        <w:lastRenderedPageBreak/>
        <w:drawing>
          <wp:inline distT="0" distB="0" distL="0" distR="0">
            <wp:extent cx="5038725" cy="5457825"/>
            <wp:effectExtent l="19050" t="0" r="9525" b="0"/>
            <wp:docPr id="1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44" w:rsidRDefault="00D20244" w:rsidP="00D20244">
      <w:pPr>
        <w:spacing w:before="100" w:beforeAutospacing="1" w:after="100" w:afterAutospacing="1"/>
        <w:rPr>
          <w:rFonts w:ascii="Arial" w:hAnsi="Arial" w:cs="Arial"/>
          <w:color w:val="000000" w:themeColor="text1"/>
          <w:sz w:val="24"/>
          <w:szCs w:val="24"/>
        </w:rPr>
      </w:pPr>
    </w:p>
    <w:p w:rsidR="00D20244" w:rsidRDefault="00D20244" w:rsidP="00D20244">
      <w:pPr>
        <w:spacing w:before="100" w:beforeAutospacing="1" w:after="100" w:afterAutospacing="1"/>
        <w:rPr>
          <w:rFonts w:ascii="Arial" w:hAnsi="Arial" w:cs="Arial"/>
          <w:color w:val="000000" w:themeColor="text1"/>
          <w:sz w:val="24"/>
          <w:szCs w:val="24"/>
        </w:rPr>
      </w:pPr>
    </w:p>
    <w:p w:rsidR="00D20244" w:rsidRDefault="00D20244" w:rsidP="00D20244">
      <w:pPr>
        <w:spacing w:before="100" w:beforeAutospacing="1" w:after="100" w:afterAutospacing="1"/>
        <w:rPr>
          <w:rFonts w:ascii="Arial" w:hAnsi="Arial" w:cs="Arial"/>
          <w:color w:val="000000" w:themeColor="text1"/>
          <w:sz w:val="24"/>
          <w:szCs w:val="24"/>
        </w:rPr>
      </w:pPr>
    </w:p>
    <w:p w:rsidR="00D20244" w:rsidRDefault="00D20244" w:rsidP="00D20244">
      <w:pPr>
        <w:spacing w:before="100" w:beforeAutospacing="1" w:after="100" w:afterAutospacing="1"/>
        <w:rPr>
          <w:rFonts w:ascii="Arial" w:hAnsi="Arial" w:cs="Arial"/>
          <w:color w:val="000000" w:themeColor="text1"/>
          <w:sz w:val="24"/>
          <w:szCs w:val="24"/>
        </w:rPr>
      </w:pPr>
    </w:p>
    <w:p w:rsidR="00D20244" w:rsidRDefault="00D20244" w:rsidP="00D20244">
      <w:pPr>
        <w:spacing w:before="100" w:beforeAutospacing="1" w:after="100" w:afterAutospacing="1"/>
        <w:rPr>
          <w:rFonts w:ascii="Arial" w:hAnsi="Arial" w:cs="Arial"/>
          <w:color w:val="000000" w:themeColor="text1"/>
          <w:sz w:val="24"/>
          <w:szCs w:val="24"/>
        </w:rPr>
      </w:pPr>
    </w:p>
    <w:p w:rsidR="00D20244" w:rsidRDefault="00D20244" w:rsidP="00D20244">
      <w:pPr>
        <w:spacing w:before="100" w:beforeAutospacing="1" w:after="100" w:afterAutospacing="1"/>
        <w:rPr>
          <w:rFonts w:ascii="Arial" w:hAnsi="Arial" w:cs="Arial"/>
          <w:color w:val="000000" w:themeColor="text1"/>
          <w:sz w:val="24"/>
          <w:szCs w:val="24"/>
        </w:rPr>
      </w:pPr>
    </w:p>
    <w:p w:rsidR="00111A87" w:rsidRDefault="00111A87" w:rsidP="00111A87">
      <w:pPr>
        <w:pStyle w:val="HeadlineABNT"/>
        <w:jc w:val="center"/>
      </w:pPr>
      <w:bookmarkStart w:id="70" w:name="_Toc339406875"/>
      <w:r>
        <w:lastRenderedPageBreak/>
        <w:t>ANEXO 3</w:t>
      </w:r>
      <w:bookmarkEnd w:id="70"/>
    </w:p>
    <w:p w:rsidR="00111A87" w:rsidRDefault="00111A87" w:rsidP="00111A87">
      <w:pPr>
        <w:pStyle w:val="HeadlineABNT"/>
        <w:jc w:val="center"/>
      </w:pPr>
    </w:p>
    <w:p w:rsidR="00111A87" w:rsidRDefault="00111A87" w:rsidP="00111A87">
      <w:pPr>
        <w:jc w:val="both"/>
      </w:pPr>
      <w:r>
        <w:rPr>
          <w:noProof/>
          <w:lang w:val="pt-BR" w:eastAsia="pt-BR"/>
        </w:rPr>
        <w:drawing>
          <wp:inline distT="0" distB="0" distL="0" distR="0">
            <wp:extent cx="5777345" cy="3363978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20" cy="336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87" w:rsidRPr="0029216C" w:rsidRDefault="00111A87" w:rsidP="00111A87">
      <w:pPr>
        <w:jc w:val="both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5777345" cy="421178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lum bright="-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130" b="1515"/>
                    <a:stretch/>
                  </pic:blipFill>
                  <pic:spPr bwMode="auto">
                    <a:xfrm>
                      <a:off x="0" y="0"/>
                      <a:ext cx="5782043" cy="421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A87" w:rsidRPr="00111A87" w:rsidRDefault="00111A87" w:rsidP="00111A87">
      <w:pPr>
        <w:jc w:val="both"/>
        <w:rPr>
          <w:b/>
        </w:rPr>
      </w:pPr>
      <w:r w:rsidRPr="0029216C">
        <w:rPr>
          <w:b/>
          <w:lang w:val="pt-BR"/>
        </w:rPr>
        <w:lastRenderedPageBreak/>
        <w:t>Tributos</w:t>
      </w:r>
      <w:r w:rsidRPr="00111A87">
        <w:rPr>
          <w:b/>
        </w:rPr>
        <w:t xml:space="preserve"> a recuperar</w:t>
      </w:r>
    </w:p>
    <w:p w:rsidR="00111A87" w:rsidRDefault="00111A87" w:rsidP="00111A87">
      <w:pPr>
        <w:jc w:val="both"/>
      </w:pPr>
      <w:r>
        <w:rPr>
          <w:noProof/>
          <w:lang w:val="pt-BR" w:eastAsia="pt-BR"/>
        </w:rPr>
        <w:drawing>
          <wp:inline distT="0" distB="0" distL="0" distR="0">
            <wp:extent cx="5638800" cy="2507673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lum bright="-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47" b="6701"/>
                    <a:stretch/>
                  </pic:blipFill>
                  <pic:spPr bwMode="auto">
                    <a:xfrm>
                      <a:off x="0" y="0"/>
                      <a:ext cx="5639163" cy="250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A87" w:rsidRPr="0029216C" w:rsidRDefault="00111A87" w:rsidP="00111A87">
      <w:pPr>
        <w:jc w:val="both"/>
        <w:rPr>
          <w:lang w:val="pt-BR"/>
        </w:rPr>
      </w:pPr>
    </w:p>
    <w:p w:rsidR="00111A87" w:rsidRPr="00111A87" w:rsidRDefault="00111A87" w:rsidP="00111A87">
      <w:pPr>
        <w:jc w:val="both"/>
        <w:rPr>
          <w:b/>
        </w:rPr>
      </w:pPr>
      <w:r w:rsidRPr="0029216C">
        <w:rPr>
          <w:b/>
          <w:lang w:val="pt-BR"/>
        </w:rPr>
        <w:t>Imobilizado</w:t>
      </w:r>
    </w:p>
    <w:p w:rsidR="00111A87" w:rsidRDefault="00111A87" w:rsidP="00111A87">
      <w:pPr>
        <w:jc w:val="both"/>
      </w:pPr>
      <w:r>
        <w:rPr>
          <w:noProof/>
          <w:lang w:val="pt-BR" w:eastAsia="pt-BR"/>
        </w:rPr>
        <w:drawing>
          <wp:inline distT="0" distB="0" distL="0" distR="0">
            <wp:extent cx="5805054" cy="4059382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333" cy="405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87" w:rsidRDefault="00111A87" w:rsidP="00111A87">
      <w:pPr>
        <w:jc w:val="both"/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765202" cy="365760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-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536" cy="36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87" w:rsidRPr="004236F5" w:rsidRDefault="00111A87" w:rsidP="00111A87">
      <w:pPr>
        <w:jc w:val="both"/>
      </w:pPr>
      <w:r>
        <w:rPr>
          <w:noProof/>
          <w:lang w:val="pt-BR" w:eastAsia="pt-BR"/>
        </w:rPr>
        <w:drawing>
          <wp:inline distT="0" distB="0" distL="0" distR="0">
            <wp:extent cx="5763490" cy="3602182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67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87" w:rsidRDefault="00111A87" w:rsidP="00111A87">
      <w:pPr>
        <w:jc w:val="both"/>
      </w:pPr>
    </w:p>
    <w:p w:rsidR="00111A87" w:rsidRDefault="00111A87" w:rsidP="00111A87">
      <w:pPr>
        <w:jc w:val="both"/>
      </w:pPr>
    </w:p>
    <w:p w:rsidR="00111A87" w:rsidRDefault="00111A87" w:rsidP="00111A87">
      <w:pPr>
        <w:jc w:val="both"/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6289675" cy="30759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87" w:rsidRDefault="00111A87" w:rsidP="00111A87">
      <w:pPr>
        <w:pStyle w:val="NormalWeb"/>
      </w:pPr>
      <w:r>
        <w:t xml:space="preserve">Em </w:t>
      </w:r>
      <w:smartTag w:uri="urn:schemas-microsoft-com:office:smarttags" w:element="metricconverter">
        <w:smartTagPr>
          <w:attr w:name="ProductID" w:val="2008 a"/>
        </w:smartTagPr>
        <w:r>
          <w:t>2008 a</w:t>
        </w:r>
      </w:smartTag>
      <w:r>
        <w:t xml:space="preserve"> empresa gerou um valor adicionado de R$ 6,86 bilhões, assim divididos:</w:t>
      </w:r>
    </w:p>
    <w:p w:rsidR="00D20244" w:rsidRDefault="00111A87" w:rsidP="00111A87">
      <w:pPr>
        <w:pStyle w:val="ABNT"/>
        <w:rPr>
          <w:highlight w:val="blue"/>
        </w:rPr>
      </w:pPr>
      <w:r>
        <w:rPr>
          <w:noProof/>
          <w:lang w:eastAsia="pt-BR"/>
        </w:rPr>
        <w:drawing>
          <wp:inline distT="0" distB="0" distL="0" distR="0">
            <wp:extent cx="4239260" cy="1995170"/>
            <wp:effectExtent l="0" t="0" r="8890" b="5080"/>
            <wp:docPr id="11" name="Picture 11" descr="Valor adicionado ao cole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alor adicionado ao coletivo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06" w:rsidRDefault="00E74606" w:rsidP="00111A87">
      <w:pPr>
        <w:pStyle w:val="ABNT"/>
        <w:rPr>
          <w:highlight w:val="blue"/>
        </w:rPr>
      </w:pPr>
    </w:p>
    <w:p w:rsidR="00E74606" w:rsidRDefault="00E74606" w:rsidP="00111A87">
      <w:pPr>
        <w:pStyle w:val="ABNT"/>
        <w:rPr>
          <w:highlight w:val="blue"/>
        </w:rPr>
      </w:pPr>
    </w:p>
    <w:p w:rsidR="00E74606" w:rsidRDefault="00E74606" w:rsidP="00111A87">
      <w:pPr>
        <w:pStyle w:val="ABNT"/>
        <w:rPr>
          <w:highlight w:val="blue"/>
        </w:rPr>
      </w:pPr>
    </w:p>
    <w:p w:rsidR="00E74606" w:rsidRDefault="00E74606" w:rsidP="00111A87">
      <w:pPr>
        <w:pStyle w:val="ABNT"/>
        <w:rPr>
          <w:highlight w:val="blue"/>
        </w:rPr>
      </w:pPr>
    </w:p>
    <w:p w:rsidR="00E74606" w:rsidRDefault="00E74606" w:rsidP="00111A87">
      <w:pPr>
        <w:pStyle w:val="ABNT"/>
        <w:rPr>
          <w:highlight w:val="blue"/>
        </w:rPr>
      </w:pPr>
    </w:p>
    <w:p w:rsidR="00E74606" w:rsidRDefault="00E74606" w:rsidP="00111A87">
      <w:pPr>
        <w:pStyle w:val="ABNT"/>
        <w:rPr>
          <w:highlight w:val="blue"/>
        </w:rPr>
      </w:pPr>
    </w:p>
    <w:p w:rsidR="00E74606" w:rsidRDefault="00E74606" w:rsidP="00111A87">
      <w:pPr>
        <w:pStyle w:val="ABNT"/>
        <w:rPr>
          <w:highlight w:val="blue"/>
        </w:rPr>
      </w:pPr>
    </w:p>
    <w:p w:rsidR="00E74606" w:rsidRDefault="00E74606" w:rsidP="00111A87">
      <w:pPr>
        <w:pStyle w:val="ABNT"/>
        <w:rPr>
          <w:highlight w:val="blue"/>
        </w:rPr>
      </w:pPr>
    </w:p>
    <w:p w:rsidR="00E74606" w:rsidRDefault="00E74606" w:rsidP="00111A87">
      <w:pPr>
        <w:pStyle w:val="ABNT"/>
        <w:rPr>
          <w:highlight w:val="blue"/>
        </w:rPr>
      </w:pPr>
    </w:p>
    <w:p w:rsidR="00E74606" w:rsidRDefault="00E74606" w:rsidP="00E74606">
      <w:pPr>
        <w:pStyle w:val="HeadlineABNT"/>
        <w:jc w:val="center"/>
      </w:pPr>
      <w:bookmarkStart w:id="71" w:name="_Toc339406876"/>
      <w:r w:rsidRPr="00E74606">
        <w:lastRenderedPageBreak/>
        <w:t>ANEXO 4</w:t>
      </w:r>
      <w:bookmarkEnd w:id="71"/>
    </w:p>
    <w:p w:rsidR="00E74606" w:rsidRPr="00E74606" w:rsidRDefault="00E74606" w:rsidP="00E74606">
      <w:pPr>
        <w:pStyle w:val="HeadlineABNT"/>
        <w:jc w:val="center"/>
      </w:pPr>
    </w:p>
    <w:p w:rsidR="00E74606" w:rsidRDefault="00E74606" w:rsidP="00E74606">
      <w:pPr>
        <w:pStyle w:val="SemEspaamento"/>
        <w:rPr>
          <w:highlight w:val="blue"/>
        </w:rPr>
      </w:pPr>
      <w:r>
        <w:rPr>
          <w:noProof/>
          <w:lang w:val="pt-BR" w:eastAsia="pt-BR"/>
        </w:rPr>
        <w:drawing>
          <wp:inline distT="0" distB="0" distL="0" distR="0">
            <wp:extent cx="5749636" cy="4239489"/>
            <wp:effectExtent l="0" t="0" r="381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909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06" w:rsidRDefault="00E74606" w:rsidP="00E74606">
      <w:pPr>
        <w:pStyle w:val="SemEspaamento"/>
        <w:rPr>
          <w:highlight w:val="blue"/>
        </w:rPr>
      </w:pPr>
      <w:r>
        <w:rPr>
          <w:noProof/>
          <w:lang w:val="pt-BR" w:eastAsia="pt-BR"/>
        </w:rPr>
        <w:drawing>
          <wp:inline distT="0" distB="0" distL="0" distR="0">
            <wp:extent cx="5749636" cy="2840181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701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06" w:rsidRDefault="00E74606" w:rsidP="00E74606">
      <w:pPr>
        <w:pStyle w:val="SemEspaamento"/>
        <w:rPr>
          <w:highlight w:val="blue"/>
        </w:rPr>
      </w:pPr>
    </w:p>
    <w:p w:rsidR="00E74606" w:rsidRDefault="00E74606" w:rsidP="00E74606">
      <w:pPr>
        <w:pStyle w:val="SemEspaamento"/>
        <w:rPr>
          <w:highlight w:val="blue"/>
        </w:rPr>
      </w:pPr>
    </w:p>
    <w:p w:rsidR="00E74606" w:rsidRDefault="00E74606" w:rsidP="00E74606">
      <w:pPr>
        <w:pStyle w:val="SemEspaamento"/>
        <w:rPr>
          <w:highlight w:val="blue"/>
        </w:rPr>
      </w:pPr>
    </w:p>
    <w:p w:rsidR="00E74606" w:rsidRDefault="00E74606" w:rsidP="00E74606">
      <w:pPr>
        <w:pStyle w:val="SemEspaamento"/>
        <w:rPr>
          <w:highlight w:val="blue"/>
        </w:rPr>
      </w:pPr>
    </w:p>
    <w:p w:rsidR="00E74606" w:rsidRDefault="00E74606" w:rsidP="00E74606">
      <w:pPr>
        <w:pStyle w:val="SemEspaamento"/>
        <w:rPr>
          <w:highlight w:val="blue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524500" cy="75628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10" w:rsidRDefault="008C7010" w:rsidP="00E74606">
      <w:pPr>
        <w:pStyle w:val="SemEspaamento"/>
        <w:rPr>
          <w:highlight w:val="blue"/>
        </w:rPr>
      </w:pPr>
    </w:p>
    <w:p w:rsidR="008C7010" w:rsidRDefault="008C7010" w:rsidP="00E74606">
      <w:pPr>
        <w:pStyle w:val="SemEspaamento"/>
        <w:rPr>
          <w:highlight w:val="blue"/>
        </w:rPr>
      </w:pPr>
    </w:p>
    <w:p w:rsidR="008C7010" w:rsidRDefault="008C7010" w:rsidP="00E74606">
      <w:pPr>
        <w:pStyle w:val="SemEspaamento"/>
        <w:rPr>
          <w:highlight w:val="blue"/>
        </w:rPr>
      </w:pPr>
    </w:p>
    <w:p w:rsidR="008C7010" w:rsidRDefault="008C7010" w:rsidP="00E74606">
      <w:pPr>
        <w:pStyle w:val="SemEspaamento"/>
        <w:rPr>
          <w:highlight w:val="blue"/>
        </w:rPr>
      </w:pPr>
    </w:p>
    <w:p w:rsidR="008C7010" w:rsidRDefault="008C7010" w:rsidP="00E74606">
      <w:pPr>
        <w:pStyle w:val="SemEspaamento"/>
        <w:rPr>
          <w:highlight w:val="blue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943600" cy="57626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465" b="4136"/>
                    <a:stretch/>
                  </pic:blipFill>
                  <pic:spPr bwMode="auto">
                    <a:xfrm>
                      <a:off x="0" y="0"/>
                      <a:ext cx="59436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AB2" w:rsidRDefault="00AC5AB2" w:rsidP="00E74606">
      <w:pPr>
        <w:pStyle w:val="SemEspaamento"/>
        <w:rPr>
          <w:highlight w:val="blue"/>
        </w:rPr>
      </w:pPr>
    </w:p>
    <w:p w:rsidR="00AC5AB2" w:rsidRDefault="00AC5AB2" w:rsidP="00E74606">
      <w:pPr>
        <w:pStyle w:val="SemEspaamento"/>
        <w:rPr>
          <w:highlight w:val="blue"/>
        </w:rPr>
      </w:pPr>
    </w:p>
    <w:p w:rsidR="00AC5AB2" w:rsidRDefault="00AC5AB2" w:rsidP="00E74606">
      <w:pPr>
        <w:pStyle w:val="SemEspaamento"/>
        <w:rPr>
          <w:highlight w:val="blue"/>
        </w:rPr>
      </w:pPr>
    </w:p>
    <w:p w:rsidR="00AC5AB2" w:rsidRDefault="00AC5AB2" w:rsidP="00E74606">
      <w:pPr>
        <w:pStyle w:val="SemEspaamento"/>
        <w:rPr>
          <w:highlight w:val="blue"/>
        </w:rPr>
      </w:pPr>
    </w:p>
    <w:p w:rsidR="00AC5AB2" w:rsidRDefault="00AC5AB2" w:rsidP="00E74606">
      <w:pPr>
        <w:pStyle w:val="SemEspaamento"/>
        <w:rPr>
          <w:highlight w:val="blue"/>
        </w:rPr>
      </w:pPr>
    </w:p>
    <w:p w:rsidR="00AC5AB2" w:rsidRDefault="00AC5AB2" w:rsidP="00E74606">
      <w:pPr>
        <w:pStyle w:val="SemEspaamento"/>
        <w:rPr>
          <w:highlight w:val="blue"/>
        </w:rPr>
      </w:pPr>
    </w:p>
    <w:p w:rsidR="008C04EB" w:rsidRDefault="008C04EB" w:rsidP="00E74606">
      <w:pPr>
        <w:pStyle w:val="SemEspaamento"/>
        <w:rPr>
          <w:highlight w:val="blue"/>
        </w:rPr>
      </w:pPr>
    </w:p>
    <w:p w:rsidR="008C04EB" w:rsidRDefault="008C04EB" w:rsidP="00E74606">
      <w:pPr>
        <w:pStyle w:val="SemEspaamento"/>
        <w:rPr>
          <w:highlight w:val="blue"/>
        </w:rPr>
      </w:pPr>
    </w:p>
    <w:p w:rsidR="00AC5AB2" w:rsidRDefault="00AC5AB2" w:rsidP="00E74606">
      <w:pPr>
        <w:pStyle w:val="SemEspaamento"/>
        <w:rPr>
          <w:highlight w:val="blue"/>
        </w:rPr>
      </w:pPr>
    </w:p>
    <w:p w:rsidR="00AC5AB2" w:rsidRDefault="00AC5AB2" w:rsidP="00E74606">
      <w:pPr>
        <w:pStyle w:val="SemEspaamento"/>
        <w:rPr>
          <w:highlight w:val="blue"/>
        </w:rPr>
      </w:pPr>
    </w:p>
    <w:p w:rsidR="00AC5AB2" w:rsidRDefault="00AC5AB2" w:rsidP="00E74606">
      <w:pPr>
        <w:pStyle w:val="SemEspaamento"/>
        <w:rPr>
          <w:highlight w:val="blue"/>
        </w:rPr>
      </w:pPr>
    </w:p>
    <w:p w:rsidR="00AC5AB2" w:rsidRDefault="00AC5AB2" w:rsidP="00E74606">
      <w:pPr>
        <w:pStyle w:val="SemEspaamento"/>
        <w:rPr>
          <w:highlight w:val="blue"/>
        </w:rPr>
      </w:pPr>
    </w:p>
    <w:p w:rsidR="00AC5AB2" w:rsidRDefault="00AC5AB2" w:rsidP="00E74606">
      <w:pPr>
        <w:pStyle w:val="SemEspaamento"/>
        <w:rPr>
          <w:highlight w:val="blue"/>
        </w:rPr>
      </w:pPr>
    </w:p>
    <w:p w:rsidR="00AC5AB2" w:rsidRPr="00524A68" w:rsidRDefault="00AC5AB2" w:rsidP="00E74606">
      <w:pPr>
        <w:pStyle w:val="SemEspaamento"/>
        <w:rPr>
          <w:highlight w:val="blue"/>
          <w:lang w:val="pt-BR"/>
        </w:rPr>
      </w:pPr>
    </w:p>
    <w:p w:rsidR="00AC5AB2" w:rsidRDefault="008C04EB" w:rsidP="00E74606">
      <w:pPr>
        <w:pStyle w:val="SemEspaamento"/>
        <w:rPr>
          <w:highlight w:val="blue"/>
        </w:rPr>
      </w:pPr>
      <w:r w:rsidRPr="00524A68">
        <w:rPr>
          <w:rFonts w:ascii="Times New Roman" w:hAnsi="Times New Roman" w:cs="Times New Roman"/>
          <w:b/>
          <w:sz w:val="24"/>
          <w:lang w:val="pt-BR"/>
        </w:rPr>
        <w:lastRenderedPageBreak/>
        <w:t>Anexo</w:t>
      </w:r>
      <w:r w:rsidRPr="008C04EB">
        <w:rPr>
          <w:rFonts w:ascii="Times New Roman" w:hAnsi="Times New Roman" w:cs="Times New Roman"/>
          <w:b/>
          <w:sz w:val="24"/>
        </w:rPr>
        <w:t xml:space="preserve"> I</w:t>
      </w:r>
    </w:p>
    <w:tbl>
      <w:tblPr>
        <w:tblW w:w="8940" w:type="dxa"/>
        <w:tblCellSpacing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"/>
        <w:gridCol w:w="8900"/>
        <w:gridCol w:w="20"/>
      </w:tblGrid>
      <w:tr w:rsidR="00AC5AB2" w:rsidTr="00AC5AB2">
        <w:trPr>
          <w:tblCellSpacing w:w="0" w:type="dxa"/>
        </w:trPr>
        <w:tc>
          <w:tcPr>
            <w:tcW w:w="6" w:type="dxa"/>
            <w:hideMark/>
          </w:tcPr>
          <w:p w:rsidR="00AC5AB2" w:rsidRDefault="00AC5AB2">
            <w:pPr>
              <w:spacing w:after="200" w:line="276" w:lineRule="auto"/>
              <w:rPr>
                <w:lang w:val="pt-BR"/>
              </w:rPr>
            </w:pPr>
          </w:p>
        </w:tc>
        <w:tc>
          <w:tcPr>
            <w:tcW w:w="8925" w:type="dxa"/>
            <w:hideMark/>
          </w:tcPr>
          <w:tbl>
            <w:tblPr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916"/>
              <w:gridCol w:w="4984"/>
            </w:tblGrid>
            <w:tr w:rsidR="00AC5AB2" w:rsidRPr="0028448D">
              <w:trPr>
                <w:tblCellSpacing w:w="0" w:type="dxa"/>
              </w:trPr>
              <w:tc>
                <w:tcPr>
                  <w:tcW w:w="2200" w:type="pct"/>
                  <w:vAlign w:val="center"/>
                  <w:hideMark/>
                </w:tcPr>
                <w:p w:rsidR="00AC5AB2" w:rsidRDefault="00AC5AB2">
                  <w:pPr>
                    <w:spacing w:after="200" w:line="276" w:lineRule="auto"/>
                    <w:rPr>
                      <w:lang w:val="pt-BR"/>
                    </w:rPr>
                  </w:pPr>
                </w:p>
              </w:tc>
              <w:tc>
                <w:tcPr>
                  <w:tcW w:w="2800" w:type="pct"/>
                  <w:vAlign w:val="center"/>
                  <w:hideMark/>
                </w:tcPr>
                <w:p w:rsidR="00AC5AB2" w:rsidRDefault="00AC5AB2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pt-BR" w:eastAsia="pt-BR"/>
                    </w:rPr>
                  </w:pPr>
                  <w:r w:rsidRPr="00AC5AB2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val="pt-BR" w:eastAsia="pt-BR"/>
                    </w:rPr>
                    <w:t>Comunicação Social</w:t>
                  </w:r>
                  <w:r w:rsidRPr="00AC5AB2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val="pt-BR" w:eastAsia="pt-BR"/>
                    </w:rPr>
                    <w:br/>
                    <w:t xml:space="preserve">06 de março de 2012 </w:t>
                  </w:r>
                </w:p>
              </w:tc>
            </w:tr>
            <w:tr w:rsidR="00AC5AB2">
              <w:trPr>
                <w:trHeight w:val="30"/>
                <w:tblCellSpacing w:w="0" w:type="dxa"/>
              </w:trPr>
              <w:tc>
                <w:tcPr>
                  <w:tcW w:w="11100" w:type="dxa"/>
                  <w:gridSpan w:val="2"/>
                  <w:vAlign w:val="center"/>
                  <w:hideMark/>
                </w:tcPr>
                <w:p w:rsidR="00AC5AB2" w:rsidRDefault="00DF3EC3">
                  <w:pPr>
                    <w:spacing w:line="3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pt-BR" w:eastAsia="pt-BR"/>
                    </w:rPr>
                  </w:pPr>
                  <w:r w:rsidRPr="00DF3EC3">
                    <w:rPr>
                      <w:noProof/>
                    </w:rPr>
                  </w:r>
                  <w:r w:rsidRPr="00DF3EC3">
                    <w:rPr>
                      <w:noProof/>
                    </w:rPr>
                    <w:pict>
                      <v:rect id="Rectangle 34" o:spid="_x0000_s1029" alt="mhtml:file://C:\Users\User\Desktop\IBGE%20%20Contas%20Nacionais%20Trimestrais-Indicadores%20de%20Volume%20e%20Valores%20Correntes.mht!http://www.ibge.gov.br/home/presidencia/noticias/images/pixel_preto.gif" style="width:450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0bRwMAAI8GAAAOAAAAZHJzL2Uyb0RvYy54bWysVVlv2zgQfi+w/4FLYB9lSa58SIhSJJJd&#10;BEgP9HoKsKAlSiLKQyVpy2nR/94hZTt29qXYXcOgZzjDOb8ZX73aC452VBumZI7jSYQRlZWqmWxz&#10;/PnTOlhiZCyRNeFK0hw/UoNfXf/x4mroMzpVneI11QiMSJMNfY47a/ssDE3VUUHMRPVUgrBRWhAL&#10;rG7DWpMBrAseTqNoHg5K171WFTUGbstRiK+9/aahlX3XNIZaxHMMsVl/an9u3BleX5Gs1aTvWHUI&#10;g/yLKARhEpyeTJXEErTV7B+mBKu0Mqqxk0qJUDUNq6jPAbKJo2fZfOxIT30uUBzTn8pk/j+z1dvd&#10;e41YneOXCUaSCOjRB6gakS2nyN3V1FRQMNFZwbOGcQrtKbKHzwaa7s+HkpqvVvUPd7evV39NI/gW&#10;SlpigHhLKgAGYY7+pJmgxmrggjtZs4rUSlMnqSkcXxTfCkd4BuAyygqlNZWWmglE8OcBHsMwTNim&#10;pZNW7SYbHXZK0LCHB6wG9DESSmUZ/JqQCdJSE/ZsT/nfoGHVpGWNa/vQmwyy/9i/165xpr9X1VeD&#10;pCo6SJ7emB7KAJCGqhyvtFZDR0kN9Y+difDChmMMWEOb4Y2qoY5ka5UHxb7RwvmAdqO9x97jCXt0&#10;b1EFl7NFPIsigGgFsjiNZh6bIcmOj3tt7GuqBHJEjjVE542T3b2xLhiSHVWcL6nWjHMPby4vLkBx&#10;vAHX8NTJXBAerT/SKF0tV8skSKbzVZBEZRncrIskmK/jxax8WRZFGf90fuMk61gN5XZujpMTJ7+H&#10;zMMMj5g/zY5RnNXOnAvJ6HZTcI12BCZ37T++5CB5Ugsvw/BFgFyepRRPk+h2mgbr+XIRJOtkFqSL&#10;aBlEcXqbzqMkTcr1ZUr3TNL/nhIacpzOpjPfpbOgn+UGTXd9Hzt4oSaYhd3Imcjx8qREMofAlax9&#10;ay1hfKTPSuHCfyoFtPvYaI9XB9ER/RtVPwJctQI4AfBgiwPRKf0dowE2Yo7Nty3RFCN+JwHyaZwk&#10;boV6JpktpsDoc8nmXEJkBaZybDEaycKOa3fba9Z24Cn2hZHqBsakYR7CboTGqA7DBVvPZ3LY0G6t&#10;nvNe6+l/5PoXAAAA//8DAFBLAwQUAAYACAAAACEApKwU49sAAAADAQAADwAAAGRycy9kb3ducmV2&#10;LnhtbEyPT0vDQBDF74LfYZmCF2l3VRAbsylSEIsIpemf8zY7JqHZ2TS7TeK3d/SilwePN7z3m3Qx&#10;ukb02IXak4a7mQKBVHhbU6lht32dPoEI0ZA1jSfU8IUBFtn1VWoS6wfaYJ/HUnAJhcRoqGJsEylD&#10;UaEzYeZbJM4+fedMZNuV0nZm4HLXyHulHqUzNfFCZVpcVlic8ovTMBTr/rD9eJPr28PK03l1Xub7&#10;d61vJuPLM4iIY/w7hh98RoeMmY7+QjaIRgM/En+Vs7lSbI8aHhTILJX/2bNvAAAA//8DAFBLAQIt&#10;ABQABgAIAAAAIQC2gziS/gAAAOEBAAATAAAAAAAAAAAAAAAAAAAAAABbQ29udGVudF9UeXBlc10u&#10;eG1sUEsBAi0AFAAGAAgAAAAhADj9If/WAAAAlAEAAAsAAAAAAAAAAAAAAAAALwEAAF9yZWxzLy5y&#10;ZWxzUEsBAi0AFAAGAAgAAAAhAJfNbRtHAwAAjwYAAA4AAAAAAAAAAAAAAAAALgIAAGRycy9lMm9E&#10;b2MueG1sUEsBAi0AFAAGAAgAAAAhAKSsFOPbAAAAAwEAAA8AAAAAAAAAAAAAAAAAoQUAAGRycy9k&#10;b3ducmV2LnhtbFBLBQYAAAAABAAEAPMAAACpBgAAAAA=&#10;" filled="f" stroked="f">
                        <o:lock v:ext="edit" aspectratio="t"/>
                        <w10:wrap type="none"/>
                        <w10:anchorlock/>
                      </v:rect>
                    </w:pict>
                  </w:r>
                </w:p>
              </w:tc>
            </w:tr>
            <w:tr w:rsidR="00AC5AB2">
              <w:trPr>
                <w:trHeight w:val="30"/>
                <w:tblCellSpacing w:w="0" w:type="dxa"/>
              </w:trPr>
              <w:tc>
                <w:tcPr>
                  <w:tcW w:w="11100" w:type="dxa"/>
                  <w:gridSpan w:val="2"/>
                  <w:vAlign w:val="center"/>
                  <w:hideMark/>
                </w:tcPr>
                <w:p w:rsidR="00AC5AB2" w:rsidRDefault="00AC5AB2">
                  <w:pPr>
                    <w:spacing w:line="3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pt-BR"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 </w:t>
                  </w:r>
                </w:p>
              </w:tc>
            </w:tr>
          </w:tbl>
          <w:p w:rsidR="00AC5AB2" w:rsidRDefault="00AC5AB2">
            <w:pPr>
              <w:spacing w:after="200" w:line="276" w:lineRule="auto"/>
              <w:rPr>
                <w:lang w:val="pt-BR"/>
              </w:rPr>
            </w:pPr>
          </w:p>
        </w:tc>
        <w:tc>
          <w:tcPr>
            <w:tcW w:w="6" w:type="dxa"/>
            <w:hideMark/>
          </w:tcPr>
          <w:p w:rsidR="00AC5AB2" w:rsidRDefault="00AC5AB2">
            <w:pPr>
              <w:spacing w:after="200" w:line="276" w:lineRule="auto"/>
              <w:rPr>
                <w:lang w:val="pt-BR"/>
              </w:rPr>
            </w:pPr>
          </w:p>
        </w:tc>
      </w:tr>
      <w:tr w:rsidR="00AC5AB2" w:rsidTr="00AC5AB2">
        <w:trPr>
          <w:tblCellSpacing w:w="0" w:type="dxa"/>
        </w:trPr>
        <w:tc>
          <w:tcPr>
            <w:tcW w:w="6" w:type="dxa"/>
            <w:hideMark/>
          </w:tcPr>
          <w:p w:rsidR="00AC5AB2" w:rsidRDefault="00AC5AB2">
            <w:pPr>
              <w:spacing w:after="200" w:line="276" w:lineRule="auto"/>
              <w:rPr>
                <w:lang w:val="pt-BR"/>
              </w:rPr>
            </w:pPr>
          </w:p>
        </w:tc>
        <w:tc>
          <w:tcPr>
            <w:tcW w:w="8925" w:type="dxa"/>
          </w:tcPr>
          <w:p w:rsidR="00AC5AB2" w:rsidRPr="00AC5AB2" w:rsidRDefault="00AC5A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AC5A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br/>
            </w:r>
            <w:r w:rsidRPr="00AC5AB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pt-BR" w:eastAsia="pt-BR"/>
              </w:rPr>
              <w:t xml:space="preserve">Contas Nacionais Trimestrais-Indicadores de Volume e Valores Correntes </w:t>
            </w:r>
          </w:p>
          <w:p w:rsidR="00AC5AB2" w:rsidRPr="00AC5AB2" w:rsidRDefault="00AC5A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AC5AB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pt-BR" w:eastAsia="pt-BR"/>
              </w:rPr>
              <w:t>Em 2011, PIB cresce 2,7% e totaliza R$ 4,143 trilhões</w:t>
            </w:r>
          </w:p>
          <w:p w:rsidR="00AC5AB2" w:rsidRDefault="00AC5A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5369560" cy="1790065"/>
                  <wp:effectExtent l="0" t="0" r="2540" b="635"/>
                  <wp:docPr id="30" name="Picture 30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560" cy="17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F3EC3" w:rsidRPr="00DF3EC3">
              <w:rPr>
                <w:noProof/>
              </w:rPr>
            </w:r>
            <w:r w:rsidR="00DF3EC3" w:rsidRPr="00DF3EC3">
              <w:rPr>
                <w:noProof/>
              </w:rPr>
              <w:pict>
                <v:rect id="Rectangle 33" o:spid="_x0000_s1028" alt="mhtml:file://C:\Users\User\Desktop\IBGE%20%20Contas%20Nacionais%20Trimestrais-Indicadores%20de%20Volume%20e%20Valores%20Correntes.mht!http://www.ibge.gov.br/home/presidencia/noticias/images/2093_3213_073833_208667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1t9TwMAAJsGAAAOAAAAZHJzL2Uyb0RvYy54bWysVdtu2zgQfV+g/8Al0EdZV18kRCkSyS4C&#10;pBc06T4FCGiJkoiKpJakraRF/71Dyk6c9GWxu4JBDTnUXM6cGZ+9e+A92lOlmRQ5DmcBRlRUsmai&#10;zfHX2423wkgbImrSS0Fz/Eg1fnf+5o+zcchoJDvZ11QhMCJ0Ng457owZMt/XVUc50TM5UAHKRipO&#10;DGxV69eKjGCd934UBAt/lKoelKyo1nBaTkp87uw3Da3Mp6bR1KA+xxCbcaty69au/vkZyVpFho5V&#10;hzDIv4iCEybA6ZOpkhiCdor9ZoqzSkktGzOrJPdl07CKuhwgmzB4lc1NRwbqcgFw9PAEk/7/zFYf&#10;958VYnWO4xgjQTjU6AugRkTbU2TPaqorAIx3hvdZw3oK5Smyu68aiu7Wu5Lqb0YOd1eX79dvowB+&#10;hRSGaBA+kgqIQZiVbxXjVBsFO+9K1KwitVTUamoKy1+y33EruA3QZdIVUikqDNUziODPAz3GcZyx&#10;bUtnrdzPtsrvJKf+AB+wGtjHiC+kYfDWPuOkpRrATeP7OArj+2AZr+L4PgpWi8Vy1rLGUmAcdAZI&#10;3AyflS2iHq5l9U0jIYsOgKAXegBIgN6A0PFIKTl2lNRQi9Ca8F/YsBsN1tB2/CBrwJTsjHQEeWgU&#10;tz6g9OjB8fDxiYf0waAKDuMgWQXA1gpUB9l6INnx40Fp855KjqyQYwXROeNkf63NdPV4xfoScsP6&#10;Hs5J1osXB2BzOgHX8KnV2SAcc3+kQbperVeJl0SLtZcEZeldbIrEW2zC5byMy6Iow5/Wb5hkHasB&#10;euvm2EVh8s9Yeujnif9PfaRlz2przoakVbsteoX2BLp44x4HOWier/kvw3B4QS6vUgqjJLiMUm+z&#10;WC29ZJPMvXQZrLwgTC/TRZCkSbl5mdI1E/S/p4TGHKfzaO6qdBL0q9wC9/yeG8k4MzAne8ZzDNSA&#10;x14imWXgWtRONoT1k3wChQ3/GQoo97HQjq+WohP7t7J+BLoqCXQC5sFEB6GT6jtGI0zHHOu/d0RR&#10;jPorAZRPwySx49Rtkvkygo061WxPNURUYCrHBqNJLMw0gneDYm0HnkIHjJAX0CYNcxS2LTRFdWgu&#10;mIAuk8O0tiP2dO9uPf+nnP8C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DwtbfU8DAACbBgAADgAAAAAAAAAAAAAAAAAuAgAAZHJz&#10;L2Uyb0RvYy54bWxQSwECLQAUAAYACAAAACEATKDpLNgAAAADAQAADwAAAAAAAAAAAAAAAACpBQAA&#10;ZHJzL2Rvd25yZXYueG1sUEsFBgAAAAAEAAQA8wAAAK4GAAAAAA==&#10;" filled="f" stroked="f">
                  <o:lock v:ext="edit" aspectratio="t"/>
                  <w10:wrap type="none"/>
                  <w10:anchorlock/>
                </v:rect>
              </w:pict>
            </w:r>
          </w:p>
          <w:p w:rsidR="00AC5AB2" w:rsidRPr="00AC5AB2" w:rsidRDefault="00AC5AB2" w:rsidP="00AC5AB2">
            <w:pPr>
              <w:pStyle w:val="ABNT"/>
              <w:spacing w:line="240" w:lineRule="auto"/>
              <w:rPr>
                <w:lang w:eastAsia="pt-BR"/>
              </w:rPr>
            </w:pPr>
            <w:r w:rsidRPr="00AC5AB2">
              <w:rPr>
                <w:b/>
                <w:bCs/>
                <w:lang w:eastAsia="pt-BR"/>
              </w:rPr>
              <w:t>Em relação ao terceiro trimestre de 2011</w:t>
            </w:r>
            <w:r w:rsidRPr="00AC5AB2">
              <w:rPr>
                <w:lang w:eastAsia="pt-BR"/>
              </w:rPr>
              <w:t xml:space="preserve">, o PIB a preços de mercado do quarto trimestre do ano passado cresceu </w:t>
            </w:r>
            <w:r w:rsidRPr="00AC5AB2">
              <w:rPr>
                <w:b/>
                <w:bCs/>
                <w:lang w:eastAsia="pt-BR"/>
              </w:rPr>
              <w:t>0,3%</w:t>
            </w:r>
            <w:r w:rsidRPr="00AC5AB2">
              <w:rPr>
                <w:lang w:eastAsia="pt-BR"/>
              </w:rPr>
              <w:t xml:space="preserve">, levando-se em consideração a série com ajuste sazonal. A </w:t>
            </w:r>
            <w:r w:rsidRPr="00AC5AB2">
              <w:rPr>
                <w:b/>
                <w:bCs/>
                <w:lang w:eastAsia="pt-BR"/>
              </w:rPr>
              <w:t>agropecuária</w:t>
            </w:r>
            <w:r w:rsidRPr="00AC5AB2">
              <w:rPr>
                <w:lang w:eastAsia="pt-BR"/>
              </w:rPr>
              <w:t xml:space="preserve"> (0,9%) e os </w:t>
            </w:r>
            <w:r w:rsidRPr="00AC5AB2">
              <w:rPr>
                <w:b/>
                <w:bCs/>
                <w:lang w:eastAsia="pt-BR"/>
              </w:rPr>
              <w:t>serviços</w:t>
            </w:r>
            <w:r w:rsidRPr="00AC5AB2">
              <w:rPr>
                <w:lang w:eastAsia="pt-BR"/>
              </w:rPr>
              <w:t xml:space="preserve"> (0,6%) registraram aumento, enquanto a </w:t>
            </w:r>
            <w:r w:rsidRPr="00AC5AB2">
              <w:rPr>
                <w:b/>
                <w:bCs/>
                <w:lang w:eastAsia="pt-BR"/>
              </w:rPr>
              <w:t xml:space="preserve">indústria </w:t>
            </w:r>
            <w:r w:rsidRPr="00AC5AB2">
              <w:rPr>
                <w:lang w:eastAsia="pt-BR"/>
              </w:rPr>
              <w:t>(-0,5%) caiu.</w:t>
            </w:r>
          </w:p>
          <w:p w:rsidR="00AC5AB2" w:rsidRPr="00AC5AB2" w:rsidRDefault="00AC5AB2" w:rsidP="00AC5AB2">
            <w:pPr>
              <w:pStyle w:val="ABNT"/>
              <w:spacing w:line="240" w:lineRule="auto"/>
              <w:rPr>
                <w:lang w:eastAsia="pt-BR"/>
              </w:rPr>
            </w:pPr>
            <w:r w:rsidRPr="00AC5AB2">
              <w:rPr>
                <w:b/>
                <w:bCs/>
                <w:lang w:eastAsia="pt-BR"/>
              </w:rPr>
              <w:t>Na comparação com o quarto trimestre de 2010</w:t>
            </w:r>
            <w:r w:rsidRPr="00AC5AB2">
              <w:rPr>
                <w:lang w:eastAsia="pt-BR"/>
              </w:rPr>
              <w:t xml:space="preserve">, o PIB cresceu </w:t>
            </w:r>
            <w:r w:rsidRPr="00AC5AB2">
              <w:rPr>
                <w:b/>
                <w:bCs/>
                <w:lang w:eastAsia="pt-BR"/>
              </w:rPr>
              <w:t>1,4%</w:t>
            </w:r>
            <w:r w:rsidRPr="00AC5AB2">
              <w:rPr>
                <w:lang w:eastAsia="pt-BR"/>
              </w:rPr>
              <w:t xml:space="preserve">, sendo que o </w:t>
            </w:r>
            <w:r w:rsidRPr="00AC5AB2">
              <w:rPr>
                <w:b/>
                <w:bCs/>
                <w:lang w:eastAsia="pt-BR"/>
              </w:rPr>
              <w:t>valor adicionado a preços básicos</w:t>
            </w:r>
            <w:r w:rsidRPr="00AC5AB2">
              <w:rPr>
                <w:lang w:eastAsia="pt-BR"/>
              </w:rPr>
              <w:t xml:space="preserve"> aumentou 1,2%, e os </w:t>
            </w:r>
            <w:r w:rsidRPr="00AC5AB2">
              <w:rPr>
                <w:b/>
                <w:bCs/>
                <w:lang w:eastAsia="pt-BR"/>
              </w:rPr>
              <w:t>impostos sobre produtos</w:t>
            </w:r>
            <w:r w:rsidRPr="00AC5AB2">
              <w:rPr>
                <w:lang w:eastAsia="pt-BR"/>
              </w:rPr>
              <w:t xml:space="preserve">, 2,0%. Dentre as atividades econômicas, a </w:t>
            </w:r>
            <w:r w:rsidRPr="00AC5AB2">
              <w:rPr>
                <w:b/>
                <w:bCs/>
                <w:lang w:eastAsia="pt-BR"/>
              </w:rPr>
              <w:t>agropecuária</w:t>
            </w:r>
            <w:r w:rsidRPr="00AC5AB2">
              <w:rPr>
                <w:lang w:eastAsia="pt-BR"/>
              </w:rPr>
              <w:t xml:space="preserve"> (8,4%) e os </w:t>
            </w:r>
            <w:r w:rsidRPr="00AC5AB2">
              <w:rPr>
                <w:b/>
                <w:bCs/>
                <w:lang w:eastAsia="pt-BR"/>
              </w:rPr>
              <w:t>serviços</w:t>
            </w:r>
            <w:r w:rsidRPr="00AC5AB2">
              <w:rPr>
                <w:lang w:eastAsia="pt-BR"/>
              </w:rPr>
              <w:t xml:space="preserve"> (1,4%) registraram crescimento, enquanto a </w:t>
            </w:r>
            <w:r w:rsidRPr="00AC5AB2">
              <w:rPr>
                <w:b/>
                <w:bCs/>
                <w:lang w:eastAsia="pt-BR"/>
              </w:rPr>
              <w:t>indústria</w:t>
            </w:r>
            <w:r w:rsidRPr="00AC5AB2">
              <w:rPr>
                <w:lang w:eastAsia="pt-BR"/>
              </w:rPr>
              <w:t xml:space="preserve"> (-0,4%) registrou queda.</w:t>
            </w:r>
          </w:p>
          <w:p w:rsidR="00AC5AB2" w:rsidRPr="00AC5AB2" w:rsidRDefault="00AC5AB2" w:rsidP="00AC5AB2">
            <w:pPr>
              <w:pStyle w:val="ABNT"/>
              <w:spacing w:line="240" w:lineRule="auto"/>
              <w:rPr>
                <w:lang w:eastAsia="pt-BR"/>
              </w:rPr>
            </w:pPr>
            <w:r w:rsidRPr="00AC5AB2">
              <w:rPr>
                <w:b/>
                <w:bCs/>
                <w:lang w:eastAsia="pt-BR"/>
              </w:rPr>
              <w:t>No ano de 2011</w:t>
            </w:r>
            <w:r w:rsidRPr="00AC5AB2">
              <w:rPr>
                <w:lang w:eastAsia="pt-BR"/>
              </w:rPr>
              <w:t xml:space="preserve">, em relação a 2010, o PIB aumentou </w:t>
            </w:r>
            <w:r w:rsidRPr="00AC5AB2">
              <w:rPr>
                <w:b/>
                <w:bCs/>
                <w:lang w:eastAsia="pt-BR"/>
              </w:rPr>
              <w:t>2,7%</w:t>
            </w:r>
            <w:r w:rsidRPr="00AC5AB2">
              <w:rPr>
                <w:lang w:eastAsia="pt-BR"/>
              </w:rPr>
              <w:t xml:space="preserve">, fruto do crescimento de </w:t>
            </w:r>
            <w:r w:rsidRPr="00AC5AB2">
              <w:rPr>
                <w:b/>
                <w:bCs/>
                <w:lang w:eastAsia="pt-BR"/>
              </w:rPr>
              <w:t>2,5%</w:t>
            </w:r>
            <w:r w:rsidRPr="00AC5AB2">
              <w:rPr>
                <w:lang w:eastAsia="pt-BR"/>
              </w:rPr>
              <w:t xml:space="preserve"> no </w:t>
            </w:r>
            <w:r w:rsidRPr="00AC5AB2">
              <w:rPr>
                <w:b/>
                <w:bCs/>
                <w:lang w:eastAsia="pt-BR"/>
              </w:rPr>
              <w:t>valor adicionado</w:t>
            </w:r>
            <w:r w:rsidRPr="00AC5AB2">
              <w:rPr>
                <w:lang w:eastAsia="pt-BR"/>
              </w:rPr>
              <w:t xml:space="preserve"> e </w:t>
            </w:r>
            <w:r w:rsidRPr="00AC5AB2">
              <w:rPr>
                <w:b/>
                <w:bCs/>
                <w:lang w:eastAsia="pt-BR"/>
              </w:rPr>
              <w:t>4,3%</w:t>
            </w:r>
            <w:r w:rsidRPr="00AC5AB2">
              <w:rPr>
                <w:lang w:eastAsia="pt-BR"/>
              </w:rPr>
              <w:t xml:space="preserve"> nos </w:t>
            </w:r>
            <w:r w:rsidRPr="00AC5AB2">
              <w:rPr>
                <w:b/>
                <w:bCs/>
                <w:lang w:eastAsia="pt-BR"/>
              </w:rPr>
              <w:t>impostos</w:t>
            </w:r>
            <w:r w:rsidRPr="00AC5AB2">
              <w:rPr>
                <w:lang w:eastAsia="pt-BR"/>
              </w:rPr>
              <w:t xml:space="preserve">. Nessa comparação, a </w:t>
            </w:r>
            <w:r w:rsidRPr="00AC5AB2">
              <w:rPr>
                <w:b/>
                <w:bCs/>
                <w:lang w:eastAsia="pt-BR"/>
              </w:rPr>
              <w:t>agropecuária</w:t>
            </w:r>
            <w:r w:rsidRPr="00AC5AB2">
              <w:rPr>
                <w:lang w:eastAsia="pt-BR"/>
              </w:rPr>
              <w:t xml:space="preserve"> (3,9%), os </w:t>
            </w:r>
            <w:r w:rsidRPr="00AC5AB2">
              <w:rPr>
                <w:b/>
                <w:bCs/>
                <w:lang w:eastAsia="pt-BR"/>
              </w:rPr>
              <w:t>serviços</w:t>
            </w:r>
            <w:r w:rsidRPr="00AC5AB2">
              <w:rPr>
                <w:lang w:eastAsia="pt-BR"/>
              </w:rPr>
              <w:t xml:space="preserve"> (2,7%) e a </w:t>
            </w:r>
            <w:r w:rsidRPr="00AC5AB2">
              <w:rPr>
                <w:b/>
                <w:bCs/>
                <w:lang w:eastAsia="pt-BR"/>
              </w:rPr>
              <w:t>indústria</w:t>
            </w:r>
            <w:r w:rsidRPr="00AC5AB2">
              <w:rPr>
                <w:lang w:eastAsia="pt-BR"/>
              </w:rPr>
              <w:t xml:space="preserve"> (1,6%) cresceram. Assim, segundo as informações das Contas Nacionais Trimestrais, em 2011, o </w:t>
            </w:r>
            <w:r w:rsidRPr="00AC5AB2">
              <w:rPr>
                <w:b/>
                <w:bCs/>
                <w:lang w:eastAsia="pt-BR"/>
              </w:rPr>
              <w:t>PIB em valores correntes</w:t>
            </w:r>
            <w:r w:rsidRPr="00AC5AB2">
              <w:rPr>
                <w:lang w:eastAsia="pt-BR"/>
              </w:rPr>
              <w:t xml:space="preserve"> alcançou </w:t>
            </w:r>
            <w:r w:rsidRPr="00AC5AB2">
              <w:rPr>
                <w:b/>
                <w:bCs/>
                <w:lang w:eastAsia="pt-BR"/>
              </w:rPr>
              <w:t>R$ 4,143 trilhões</w:t>
            </w:r>
            <w:r w:rsidRPr="00AC5AB2">
              <w:rPr>
                <w:lang w:eastAsia="pt-BR"/>
              </w:rPr>
              <w:t xml:space="preserve">. O PIB per capita ficou em R$ 21.252, apresentando uma alta de 1,8%, em volume, em relação a 2010. </w:t>
            </w:r>
          </w:p>
          <w:p w:rsidR="00AC5AB2" w:rsidRPr="00161D99" w:rsidRDefault="00AC5AB2" w:rsidP="00161D99">
            <w:pPr>
              <w:pStyle w:val="ABNT"/>
              <w:spacing w:line="240" w:lineRule="auto"/>
            </w:pPr>
            <w:r w:rsidRPr="00161D99">
              <w:t>A publicação completa da pesquisa pode ser acessada na página</w:t>
            </w:r>
            <w:r w:rsidR="00161D99">
              <w:t xml:space="preserve"> </w:t>
            </w:r>
            <w:hyperlink r:id="rId49" w:history="1">
              <w:r w:rsidRPr="00161D99">
                <w:rPr>
                  <w:rStyle w:val="Hyperlink"/>
                  <w:i/>
                  <w:color w:val="000000" w:themeColor="text1"/>
                </w:rPr>
                <w:t>www.ibge.gov.br/home/estatistica/indicadores/pib/defaultcnt.shtm</w:t>
              </w:r>
            </w:hyperlink>
          </w:p>
          <w:p w:rsidR="00AC5AB2" w:rsidRPr="00161D99" w:rsidRDefault="00DF3EC3" w:rsidP="00161D99">
            <w:pPr>
              <w:pStyle w:val="ABNT"/>
              <w:spacing w:line="240" w:lineRule="auto"/>
              <w:rPr>
                <w:b/>
                <w:lang w:eastAsia="pt-BR"/>
              </w:rPr>
            </w:pPr>
            <w:r w:rsidRPr="00DF3EC3">
              <w:rPr>
                <w:b/>
                <w:noProof/>
                <w:lang w:val="en-US"/>
              </w:rPr>
            </w:r>
            <w:r w:rsidRPr="00DF3EC3">
              <w:rPr>
                <w:b/>
                <w:noProof/>
                <w:lang w:val="en-US"/>
              </w:rPr>
              <w:pict>
                <v:rect id="Rectangle 32" o:spid="_x0000_s1027" alt="mhtml:file://C:\Users\User\Desktop\IBGE%20%20Contas%20Nacionais%20Trimestrais-Indicadores%20de%20Volume%20e%20Valores%20Correntes.mht!http://www.ibge.gov.br/home/presidencia/noticias/images/2093_3213_073924_333679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ctTwMAAJsGAAAOAAAAZHJzL2Uyb0RvYy54bWysVdtu2zgQfV+g/8Al0EdZV18kRCkSyS4C&#10;pBc06T4FCGiJkoiKpJakraRF/71Dyk6c9GWxu4JBDTnUXM6cGZ+9e+A92lOlmRQ5DmcBRlRUsmai&#10;zfHX2423wkgbImrSS0Fz/Eg1fnf+5o+zcchoJDvZ11QhMCJ0Ng457owZMt/XVUc50TM5UAHKRipO&#10;DGxV69eKjGCd934UBAt/lKoelKyo1nBaTkp87uw3Da3Mp6bR1KA+xxCbcaty69au/vkZyVpFho5V&#10;hzDIv4iCEybA6ZOpkhiCdor9ZoqzSkktGzOrJPdl07CKuhwgmzB4lc1NRwbqcgFw9PAEk/7/zFYf&#10;958VYnWO4wgjQTjU6AugRkTbU2TPaqorAIx3hvdZw3oK5Smyu68aiu7Wu5Lqb0YOd1eX79dvowB+&#10;hRSGaBA+kgqIQZiVbxXjVBsFO+9K1KwitVTUamoKy1+y33EruA3QZdIVUikqDNUziODPAz3GcZyx&#10;bUtnrdzPtsrvJKf+AB+wGtjHiC+kYfDWPuOkpRrATeP7OArj+2AZp1FyH8fxYpnOWtZYCoyDzgCJ&#10;m+GzskXUw7WsvmkkZNEBEPRCDwAJ0BsQOh4pJceOkhpqEVoT/gsbdqPBGtqOH2QNmJKdkY4gD43i&#10;1geUHj04Hj4+8ZA+GFTBYRwkqwDYWoHqIFsPJDt+PCht3lPJkRVyrCA6Z5zsr7WZrh6vWF9Cbljf&#10;wznJevHiAGxOJ+AaPrU6G4Rj7o80SNer9Srxkmix9pKgLL2LTZF4i024nJdxWRRl+NP6DZOsYzVA&#10;b90cuyhM/hlLD/088f+pj7TsWW3N2ZC0ardFr9CeQBdv3OMgB83zNf9lGA4vyOVVSmGUBJdR6m0W&#10;q6WXbJK5ly6DlReE6WW6CJI0KTcvU7pmgv73lNCY43QezV2VToJ+lVvgnt9zIxlnBuZkz3iOgRrw&#10;2Eskswxci9rJhrB+kk+gsOE/QwHlPhba8dVSdGL/VtaPQFclgU7APJjoIHRSfcdohOmYY/33jiiK&#10;UX8lgPJpmCR2nLpNMl9GsFGnmu2phogKTOXYYDSJhZlG8G5QrO3AU+iAEfIC2qRhjsK2haaoDs0F&#10;E9BlcpjWdsSe7t2t5/+U81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cDz3LU8DAACbBgAADgAAAAAAAAAAAAAAAAAuAgAAZHJz&#10;L2Uyb0RvYy54bWxQSwECLQAUAAYACAAAACEATKDpLNgAAAADAQAADwAAAAAAAAAAAAAAAACpBQAA&#10;ZHJzL2Rvd25yZXYueG1sUEsFBgAAAAAEAAQA8wAAAK4GAAAAAA==&#10;" filled="f" stroked="f">
                  <o:lock v:ext="edit" aspectratio="t"/>
                  <w10:wrap type="none"/>
                  <w10:anchorlock/>
                </v:rect>
              </w:pict>
            </w:r>
            <w:r w:rsidR="00AC5AB2" w:rsidRPr="00161D99">
              <w:rPr>
                <w:b/>
                <w:lang w:eastAsia="pt-BR"/>
              </w:rPr>
              <w:t>Em relação ao 3º tri de 2011, crescimento da agropecuária é destaque</w:t>
            </w:r>
          </w:p>
          <w:p w:rsidR="00AC5AB2" w:rsidRPr="00AC5AB2" w:rsidRDefault="00AC5AB2" w:rsidP="00161D99">
            <w:pPr>
              <w:pStyle w:val="ABNT"/>
              <w:spacing w:line="240" w:lineRule="auto"/>
              <w:rPr>
                <w:lang w:eastAsia="pt-BR"/>
              </w:rPr>
            </w:pPr>
            <w:r w:rsidRPr="00AC5AB2">
              <w:rPr>
                <w:lang w:eastAsia="pt-BR"/>
              </w:rPr>
              <w:t>O PIB cresceu 0,3% na comparação do quarto trimestre contra o terceiro trimestre de 2011, na série com ajuste sazonal, sendo que as variações por atividade econômica foram: agropecuária, 0,9%; serviços, 0,6% e indústria, -0,5%.</w:t>
            </w:r>
          </w:p>
          <w:p w:rsidR="00AC5AB2" w:rsidRPr="00AC5AB2" w:rsidRDefault="00AC5AB2" w:rsidP="00161D99">
            <w:pPr>
              <w:pStyle w:val="ABNT"/>
              <w:spacing w:line="240" w:lineRule="auto"/>
              <w:rPr>
                <w:lang w:eastAsia="pt-BR"/>
              </w:rPr>
            </w:pPr>
            <w:r w:rsidRPr="00AC5AB2">
              <w:rPr>
                <w:lang w:eastAsia="pt-BR"/>
              </w:rPr>
              <w:t xml:space="preserve">Todos componentes da demanda interna apresentaram variações positivas no último trimestre de 2011. A Despesa de Consumo das Famílias cresceu 1,1%, enquanto que a Despesa de Consumo da Administração Pública e a Formação Bruta de Capital Fixo (FBCF, </w:t>
            </w:r>
            <w:r w:rsidRPr="00AC5AB2">
              <w:rPr>
                <w:lang w:eastAsia="pt-BR"/>
              </w:rPr>
              <w:lastRenderedPageBreak/>
              <w:t>ou investimento) apresentaram expansão de 0,4% e 0,2%, respectivamente.</w:t>
            </w:r>
          </w:p>
          <w:p w:rsidR="00AC5AB2" w:rsidRPr="00AC5AB2" w:rsidRDefault="00AC5AB2" w:rsidP="002847F6">
            <w:pPr>
              <w:pStyle w:val="ABNT"/>
              <w:spacing w:line="240" w:lineRule="auto"/>
              <w:rPr>
                <w:rFonts w:eastAsia="Times New Roman"/>
                <w:lang w:eastAsia="pt-BR"/>
              </w:rPr>
            </w:pPr>
            <w:r w:rsidRPr="00AC5AB2">
              <w:rPr>
                <w:rFonts w:eastAsia="Times New Roman"/>
                <w:lang w:eastAsia="pt-BR"/>
              </w:rPr>
              <w:t>Pelo lado do setor externo, as Importações de Bens e Serviços cresceram em ritmo superior ao das Exportações: 2,6% contra 1,9%.</w:t>
            </w:r>
          </w:p>
          <w:p w:rsidR="00AC5AB2" w:rsidRPr="00AC5AB2" w:rsidRDefault="00AC5AB2" w:rsidP="002847F6">
            <w:pPr>
              <w:pStyle w:val="ABNT"/>
              <w:rPr>
                <w:b/>
                <w:lang w:eastAsia="pt-BR"/>
              </w:rPr>
            </w:pPr>
            <w:r w:rsidRPr="00AC5AB2">
              <w:rPr>
                <w:b/>
                <w:lang w:eastAsia="pt-BR"/>
              </w:rPr>
              <w:t>Na comparação com 4º tri de 2010, agropecuária também é destaque</w:t>
            </w:r>
          </w:p>
          <w:p w:rsidR="00AC5AB2" w:rsidRPr="00AC5AB2" w:rsidRDefault="00AC5AB2" w:rsidP="002847F6">
            <w:pPr>
              <w:pStyle w:val="ABNT"/>
              <w:spacing w:line="240" w:lineRule="auto"/>
              <w:rPr>
                <w:lang w:eastAsia="pt-BR"/>
              </w:rPr>
            </w:pPr>
            <w:r w:rsidRPr="00AC5AB2">
              <w:rPr>
                <w:lang w:eastAsia="pt-BR"/>
              </w:rPr>
              <w:t>Na comparação do quarto trimestre de 2011 com o quarto trimestre de 2010, o PIB cresceu 1,4%. Dentre as atividades que contribuem para a geração do Valor Adicionado a Preços Básicos, destaca-se o crescimento da Agropecuária (8,4%). O valor adicionado de Serviços cresceu 1,4%. Já a Indústria, que nesta base de comparação vem apresentando trajetória de desaceleração desde o segundo trimestre de 2010, teve variação negativa de -0,4%.</w:t>
            </w:r>
          </w:p>
          <w:p w:rsidR="00AC5AB2" w:rsidRPr="00AC5AB2" w:rsidRDefault="00AC5AB2" w:rsidP="002847F6">
            <w:pPr>
              <w:pStyle w:val="ABNT"/>
              <w:spacing w:line="240" w:lineRule="auto"/>
              <w:rPr>
                <w:lang w:eastAsia="pt-BR"/>
              </w:rPr>
            </w:pPr>
            <w:r w:rsidRPr="00AC5AB2">
              <w:rPr>
                <w:lang w:eastAsia="pt-BR"/>
              </w:rPr>
              <w:t>A taxa da agropecuária (8,4%) pode ser explicada pelo aumento da produtividade e pelo desempenho de alguns produtos da lavoura que possuem safra relevante no trimestre, como por exemplo, fumo (22,0%), mandioca (7,3%), feijão (10,9%) e laranja (2,8%), e pelo crescimento na produtividade, de acordo com o Levantamento Sistemático da Produção Agrícola - LSPA.</w:t>
            </w:r>
          </w:p>
          <w:p w:rsidR="00AC5AB2" w:rsidRPr="00AC5AB2" w:rsidRDefault="00AC5AB2" w:rsidP="002847F6">
            <w:pPr>
              <w:pStyle w:val="ABNT"/>
              <w:spacing w:line="240" w:lineRule="auto"/>
              <w:rPr>
                <w:lang w:eastAsia="pt-BR"/>
              </w:rPr>
            </w:pPr>
            <w:r w:rsidRPr="00AC5AB2">
              <w:rPr>
                <w:lang w:eastAsia="pt-BR"/>
              </w:rPr>
              <w:t xml:space="preserve">Entre os serviços (1,4%), todas as atividades que o compõem registraram variações positivas, com destaque para os </w:t>
            </w:r>
            <w:r w:rsidRPr="00AC5AB2">
              <w:rPr>
                <w:i/>
                <w:iCs/>
                <w:lang w:eastAsia="pt-BR"/>
              </w:rPr>
              <w:t>Serviços de informação</w:t>
            </w:r>
            <w:r w:rsidRPr="00AC5AB2">
              <w:rPr>
                <w:lang w:eastAsia="pt-BR"/>
              </w:rPr>
              <w:t xml:space="preserve"> (4,6%). As demais variações foram: </w:t>
            </w:r>
            <w:r w:rsidRPr="00AC5AB2">
              <w:rPr>
                <w:i/>
                <w:iCs/>
                <w:lang w:eastAsia="pt-BR"/>
              </w:rPr>
              <w:t>Intermediação financeira e seguros</w:t>
            </w:r>
            <w:r w:rsidRPr="00AC5AB2">
              <w:rPr>
                <w:lang w:eastAsia="pt-BR"/>
              </w:rPr>
              <w:t xml:space="preserve"> (1,5%); </w:t>
            </w:r>
            <w:r w:rsidRPr="00AC5AB2">
              <w:rPr>
                <w:i/>
                <w:iCs/>
                <w:lang w:eastAsia="pt-BR"/>
              </w:rPr>
              <w:t>Administração, saúde e educação pública</w:t>
            </w:r>
            <w:r w:rsidRPr="00AC5AB2">
              <w:rPr>
                <w:lang w:eastAsia="pt-BR"/>
              </w:rPr>
              <w:t xml:space="preserve"> (1,5%); </w:t>
            </w:r>
            <w:r w:rsidRPr="00AC5AB2">
              <w:rPr>
                <w:i/>
                <w:iCs/>
                <w:lang w:eastAsia="pt-BR"/>
              </w:rPr>
              <w:t>Transporte, armazenagem e correio</w:t>
            </w:r>
            <w:r w:rsidRPr="00AC5AB2">
              <w:rPr>
                <w:lang w:eastAsia="pt-BR"/>
              </w:rPr>
              <w:t xml:space="preserve"> (que engloba transporte de carga e passageiros, 1,4%); </w:t>
            </w:r>
            <w:r w:rsidRPr="00AC5AB2">
              <w:rPr>
                <w:i/>
                <w:iCs/>
                <w:lang w:eastAsia="pt-BR"/>
              </w:rPr>
              <w:t>Comércio</w:t>
            </w:r>
            <w:r w:rsidRPr="00AC5AB2">
              <w:rPr>
                <w:lang w:eastAsia="pt-BR"/>
              </w:rPr>
              <w:t xml:space="preserve"> (atacadista e varejista, 1,3%); </w:t>
            </w:r>
            <w:r w:rsidRPr="00AC5AB2">
              <w:rPr>
                <w:i/>
                <w:iCs/>
                <w:lang w:eastAsia="pt-BR"/>
              </w:rPr>
              <w:t>Serviços imobiliários e aluguel</w:t>
            </w:r>
            <w:r w:rsidRPr="00AC5AB2">
              <w:rPr>
                <w:lang w:eastAsia="pt-BR"/>
              </w:rPr>
              <w:t xml:space="preserve"> (1,3%) e </w:t>
            </w:r>
            <w:r w:rsidRPr="00AC5AB2">
              <w:rPr>
                <w:i/>
                <w:iCs/>
                <w:lang w:eastAsia="pt-BR"/>
              </w:rPr>
              <w:t>Outros serviços</w:t>
            </w:r>
            <w:r w:rsidRPr="00AC5AB2">
              <w:rPr>
                <w:lang w:eastAsia="pt-BR"/>
              </w:rPr>
              <w:t xml:space="preserve"> (0,7%).</w:t>
            </w:r>
          </w:p>
          <w:p w:rsidR="00AC5AB2" w:rsidRPr="00AC5AB2" w:rsidRDefault="00AC5AB2" w:rsidP="002847F6">
            <w:pPr>
              <w:pStyle w:val="ABNT"/>
              <w:spacing w:line="240" w:lineRule="auto"/>
              <w:rPr>
                <w:lang w:eastAsia="pt-BR"/>
              </w:rPr>
            </w:pPr>
            <w:r w:rsidRPr="00AC5AB2">
              <w:rPr>
                <w:lang w:eastAsia="pt-BR"/>
              </w:rPr>
              <w:t xml:space="preserve">A variação negativa da indústria (-0,4%) foi puxada pela queda de -3,1% na </w:t>
            </w:r>
            <w:r w:rsidRPr="00AC5AB2">
              <w:rPr>
                <w:i/>
                <w:iCs/>
                <w:lang w:eastAsia="pt-BR"/>
              </w:rPr>
              <w:t xml:space="preserve">Indústria de transformação. </w:t>
            </w:r>
            <w:r w:rsidRPr="00AC5AB2">
              <w:rPr>
                <w:lang w:eastAsia="pt-BR"/>
              </w:rPr>
              <w:t xml:space="preserve">As demais atividades industriais apresentaram crescimento: </w:t>
            </w:r>
            <w:r w:rsidRPr="00AC5AB2">
              <w:rPr>
                <w:i/>
                <w:iCs/>
                <w:lang w:eastAsia="pt-BR"/>
              </w:rPr>
              <w:t xml:space="preserve">Extrativa mineral </w:t>
            </w:r>
            <w:r w:rsidRPr="00AC5AB2">
              <w:rPr>
                <w:lang w:eastAsia="pt-BR"/>
              </w:rPr>
              <w:t xml:space="preserve">(3,8%), </w:t>
            </w:r>
            <w:r w:rsidRPr="00AC5AB2">
              <w:rPr>
                <w:i/>
                <w:iCs/>
                <w:lang w:eastAsia="pt-BR"/>
              </w:rPr>
              <w:t>Construção civil</w:t>
            </w:r>
            <w:r w:rsidRPr="00AC5AB2">
              <w:rPr>
                <w:lang w:eastAsia="pt-BR"/>
              </w:rPr>
              <w:t xml:space="preserve"> (3,1%) e </w:t>
            </w:r>
            <w:r w:rsidRPr="00AC5AB2">
              <w:rPr>
                <w:i/>
                <w:iCs/>
                <w:lang w:eastAsia="pt-BR"/>
              </w:rPr>
              <w:t>Eletricidade e gás, água, esgoto e limpeza urbana</w:t>
            </w:r>
            <w:r w:rsidRPr="00AC5AB2">
              <w:rPr>
                <w:lang w:eastAsia="pt-BR"/>
              </w:rPr>
              <w:t xml:space="preserve"> (3,0%). O resultado da </w:t>
            </w:r>
            <w:r w:rsidRPr="00AC5AB2">
              <w:rPr>
                <w:i/>
                <w:iCs/>
                <w:lang w:eastAsia="pt-BR"/>
              </w:rPr>
              <w:t>Indústria da transformação</w:t>
            </w:r>
            <w:r w:rsidRPr="00AC5AB2">
              <w:rPr>
                <w:lang w:eastAsia="pt-BR"/>
              </w:rPr>
              <w:t xml:space="preserve"> foi influenciado, principalmente, pela redução da produção de têxteis, artigos do vestuário, calçados e máquinas e equipamentos.</w:t>
            </w:r>
          </w:p>
          <w:p w:rsidR="00AC5AB2" w:rsidRPr="00AC5AB2" w:rsidRDefault="00AC5AB2" w:rsidP="002847F6">
            <w:pPr>
              <w:pStyle w:val="ABNT"/>
              <w:spacing w:line="240" w:lineRule="auto"/>
              <w:rPr>
                <w:lang w:eastAsia="pt-BR"/>
              </w:rPr>
            </w:pPr>
            <w:r w:rsidRPr="00AC5AB2">
              <w:rPr>
                <w:lang w:eastAsia="pt-BR"/>
              </w:rPr>
              <w:t>Dentre os componentes da demanda interna, a despesa de consumo das famílias cresceu 2,1%, a 33ª variação positiva seguida nessa base de comparação. A formação bruta de capital fixo aumentou 2,0% e a despesa de consumo da administração pública cresceu 1,3%.</w:t>
            </w:r>
          </w:p>
          <w:p w:rsidR="00AC5AB2" w:rsidRPr="00AC5AB2" w:rsidRDefault="00AC5AB2" w:rsidP="002847F6">
            <w:pPr>
              <w:pStyle w:val="ABNT"/>
              <w:spacing w:line="240" w:lineRule="auto"/>
              <w:rPr>
                <w:lang w:eastAsia="pt-BR"/>
              </w:rPr>
            </w:pPr>
            <w:r w:rsidRPr="00AC5AB2">
              <w:rPr>
                <w:lang w:eastAsia="pt-BR"/>
              </w:rPr>
              <w:t>As Exportações e as Importações de Bens e Serviços apresentaram crescimento de 3,7% e 6,4%, respectivamente, no quarto trimestre de 2011, em relação ao mesmo período de 2010.</w:t>
            </w:r>
          </w:p>
          <w:p w:rsidR="00AC5AB2" w:rsidRPr="00AC5AB2" w:rsidRDefault="00AC5AB2" w:rsidP="002847F6">
            <w:pPr>
              <w:pStyle w:val="ABNT"/>
              <w:rPr>
                <w:b/>
                <w:lang w:eastAsia="pt-BR"/>
              </w:rPr>
            </w:pPr>
            <w:r w:rsidRPr="00AC5AB2">
              <w:rPr>
                <w:b/>
                <w:lang w:eastAsia="pt-BR"/>
              </w:rPr>
              <w:t>No ano, PIB cresce 2,7% e PIB per capita varia 1,8%</w:t>
            </w:r>
          </w:p>
          <w:p w:rsidR="00AC5AB2" w:rsidRPr="00AC5AB2" w:rsidRDefault="00AC5AB2" w:rsidP="002847F6">
            <w:pPr>
              <w:pStyle w:val="ABNT"/>
              <w:spacing w:line="240" w:lineRule="auto"/>
              <w:rPr>
                <w:lang w:eastAsia="pt-BR"/>
              </w:rPr>
            </w:pPr>
            <w:r w:rsidRPr="00AC5AB2">
              <w:rPr>
                <w:lang w:eastAsia="pt-BR"/>
              </w:rPr>
              <w:t xml:space="preserve">Em 2011, o PIB brasileiro variou 2,7% em relação a 2010. Em 2010, o crescimento acumulado no ano havia sido de 7,5%. Em função deste crescimento, o PIB per capita alcançou R$ 21.252 (em valores correntes), após ter registrado variação, em volume, de 1,8% em relação a 2010. O PIB per capita é definido como a divisão do valor corrente do PIB pela população </w:t>
            </w:r>
            <w:r w:rsidRPr="00AC5AB2">
              <w:t>residente</w:t>
            </w:r>
            <w:r w:rsidRPr="00AC5AB2">
              <w:rPr>
                <w:lang w:eastAsia="pt-BR"/>
              </w:rPr>
              <w:t xml:space="preserve"> no meio do ano.</w:t>
            </w:r>
          </w:p>
          <w:p w:rsidR="00AC5AB2" w:rsidRPr="00AC5AB2" w:rsidRDefault="00DF3EC3" w:rsidP="002847F6">
            <w:pPr>
              <w:pStyle w:val="ABNT"/>
              <w:spacing w:line="240" w:lineRule="auto"/>
              <w:rPr>
                <w:lang w:eastAsia="pt-BR"/>
              </w:rPr>
            </w:pPr>
            <w:r w:rsidRPr="00DF3EC3">
              <w:rPr>
                <w:noProof/>
                <w:lang w:val="en-US"/>
              </w:rPr>
            </w:r>
            <w:r w:rsidRPr="00DF3EC3">
              <w:rPr>
                <w:noProof/>
                <w:lang w:val="en-US"/>
              </w:rPr>
              <w:pict>
                <v:rect id="Rectangle 31" o:spid="_x0000_s1026" alt="mhtml:file://C:\Users\User\Desktop\IBGE%20%20Contas%20Nacionais%20Trimestrais-Indicadores%20de%20Volume%20e%20Valores%20Correntes.mht!http://www.ibge.gov.br/home/presidencia/noticias/images/2093_3213_073945_915629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GLxUAMAAJsGAAAOAAAAZHJzL2Uyb0RvYy54bWysVVtv2zYUfh/Q/8AR6KOsi+WLhChFItlF&#10;gLQr1nZPAQJapCSiIqmRtJW02H/fIWUnTvoybBMM6pCHOpfvfOf44t2D6NGBacOVLHA8izBislaU&#10;y7bAX79sgzVGxhJJSa8kK/AjM/jd5ZtfLsYhZ4nqVE+ZRmBEmnwcCtxZO+RhaOqOCWJmamASlI3S&#10;gljY6jakmoxgXfRhEkXLcFSaDlrVzBg4rSYlvvT2m4bV9remMcyivsAQm/Wr9uvOreHlBclbTYaO&#10;18cwyL+IQhAuwemTqYpYgvaa/2RK8Foroxo7q5UIVdPwmvkcIJs4epXN544MzOcC4JjhCSbz/5mt&#10;Px4+acRpgecxRpIIqNHvgBqRbc+QO6PM1ACY6Kzo84b3DMpT5ndfDRTdr3cVM9+sGu5urt9v3iYR&#10;/EolLTEgfCQ1EINwJ3/RXDBjNeyCG0l5TajSzGkog+UP1e+FE/wG6DLpSqU1k5aZGUTw65Ee4zjO&#10;+K5ls1YdZjsddkqwcIAPOAX2cRJKZTm8TcgFaZkBcLP5/TyJ5/fRap6li/ssXiyTbNbyxlFgHEwO&#10;SHwePmlXRDPcqvqbQVKVHQDBrswAkAC9AaHTkdZq7BihUIvYmQhf2HAbA9bQbvygKGBK9lZ5gjw0&#10;WjgfUHr04Hn4+MRD9mBRDYfzKF1HwNYaVEfZeSD56eNBG/ueKYGcUGAN0Xnj5HBr7HT1dMX5kmrL&#10;+x7OSd7LFwdgczoB1/Cp07kgPHN/ZFG2WW/WaZAmy02QRlUVXG3LNFhu49WimldlWcV/Ob9xmnec&#10;AvTOzamL4vSfsfTYzxP/n/rIqJ5TZ86FZHS7K3uNDgS6eOsfDzlonq+FL8PweEEur1KKkzS6TrJg&#10;u1yvgnSbLoJsFa2DKM6us2WUZmm1fZnSLZfsv6eExgJni2Thq3QW9KvcIv/8nBvJBbcwJ3suCgzU&#10;gMddIrlj4EZSL1vC+0k+g8KF/wwFlPtUaM9XR9GJ/TtFH4GuWgGdgHkw0UHolP6O0QjTscDmzz3R&#10;DKP+RgLlszhN3Tj1m3SxSmCjzzW7cw2RNZgqsMVoEks7jeD9oHnbgafYAyPVFbRJwz2FXQtNUR2b&#10;Cyagz+Q4rd2IPd/7W8//KZd/A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ALMYvFQAwAAmwYAAA4AAAAAAAAAAAAAAAAALgIAAGRy&#10;cy9lMm9Eb2MueG1sUEsBAi0AFAAGAAgAAAAhAEyg6SzYAAAAAwEAAA8AAAAAAAAAAAAAAAAAqgUA&#10;AGRycy9kb3ducmV2LnhtbFBLBQYAAAAABAAEAPMAAACvBgAAAAA=&#10;" filled="f" stroked="f">
                  <o:lock v:ext="edit" aspectratio="t"/>
                  <w10:wrap type="none"/>
                  <w10:anchorlock/>
                </v:rect>
              </w:pict>
            </w:r>
            <w:r w:rsidR="00AC5AB2" w:rsidRPr="00AC5AB2">
              <w:rPr>
                <w:lang w:eastAsia="pt-BR"/>
              </w:rPr>
              <w:t xml:space="preserve">A expansão do PIB resultou do aumento de 2,5% do Valor Adicionado a preços básicos e do crescimento de 4,3% nos Impostos sobre Produtos líquidos de Subsídios. O aumento dos impostos reflete, principalmente, o crescimento em volume de 11,4% do Imposto sobre Importação e do aumento de 4,7% do IPI (Imposto sobre Produtos Industrializados), sendo este último puxado pela venda de máquinas e equipamentos. O </w:t>
            </w:r>
            <w:r w:rsidR="00AC5AB2" w:rsidRPr="00AC5AB2">
              <w:rPr>
                <w:lang w:eastAsia="pt-BR"/>
              </w:rPr>
              <w:lastRenderedPageBreak/>
              <w:t>resultado do Valor Adicionado neste tipo de comparação refletiu o desempenho das três atividades que o compõem: Agropecuária (3,9%), Serviços (2,7%) e Indústria (1,6%).</w:t>
            </w:r>
          </w:p>
          <w:p w:rsidR="00AC5AB2" w:rsidRPr="00AC5AB2" w:rsidRDefault="00AC5AB2" w:rsidP="002847F6">
            <w:pPr>
              <w:pStyle w:val="ABNT"/>
              <w:spacing w:line="240" w:lineRule="auto"/>
              <w:rPr>
                <w:lang w:eastAsia="pt-BR"/>
              </w:rPr>
            </w:pPr>
            <w:r w:rsidRPr="00AC5AB2">
              <w:rPr>
                <w:lang w:eastAsia="pt-BR"/>
              </w:rPr>
              <w:t>O crescimento da agropecuária (3,9%) se deve ao aumento de produção de várias culturas importantes da lavoura e aos ganhos de produtividade. Influenciada pelas condições climáticas favoráveis, a agricultura brasileira apresentou safra recorde em 2011 (159,9 milhões de toneladas), tendo como destaque as seguintes culturas: algodão (72,6%), fumo (22,0%), arroz (19,0%), soja (9,2%) e mandioca (7,3%).</w:t>
            </w:r>
          </w:p>
          <w:p w:rsidR="00AC5AB2" w:rsidRPr="00AC5AB2" w:rsidRDefault="00AC5AB2" w:rsidP="002847F6">
            <w:pPr>
              <w:pStyle w:val="ABNT"/>
              <w:spacing w:line="240" w:lineRule="auto"/>
              <w:rPr>
                <w:lang w:eastAsia="pt-BR"/>
              </w:rPr>
            </w:pPr>
            <w:r w:rsidRPr="00AC5AB2">
              <w:rPr>
                <w:lang w:eastAsia="pt-BR"/>
              </w:rPr>
              <w:t xml:space="preserve">Já nos serviços (2,7%), os destaques positivos foram </w:t>
            </w:r>
            <w:r w:rsidRPr="00AC5AB2">
              <w:rPr>
                <w:i/>
                <w:iCs/>
                <w:lang w:eastAsia="pt-BR"/>
              </w:rPr>
              <w:t>Serviços de informação</w:t>
            </w:r>
            <w:r w:rsidRPr="00AC5AB2">
              <w:rPr>
                <w:lang w:eastAsia="pt-BR"/>
              </w:rPr>
              <w:t xml:space="preserve"> (4,9%) e </w:t>
            </w:r>
            <w:r w:rsidRPr="00AC5AB2">
              <w:rPr>
                <w:i/>
                <w:iCs/>
                <w:lang w:eastAsia="pt-BR"/>
              </w:rPr>
              <w:t>Intermediação financeira e seguros</w:t>
            </w:r>
            <w:r w:rsidRPr="00AC5AB2">
              <w:rPr>
                <w:lang w:eastAsia="pt-BR"/>
              </w:rPr>
              <w:t xml:space="preserve"> (3,9%). </w:t>
            </w:r>
            <w:r w:rsidRPr="00AC5AB2">
              <w:rPr>
                <w:i/>
                <w:iCs/>
                <w:lang w:eastAsia="pt-BR"/>
              </w:rPr>
              <w:t>Comércio</w:t>
            </w:r>
            <w:r w:rsidRPr="00AC5AB2">
              <w:rPr>
                <w:lang w:eastAsia="pt-BR"/>
              </w:rPr>
              <w:t xml:space="preserve"> cresceu 3,4%, seguido de </w:t>
            </w:r>
            <w:r w:rsidRPr="00AC5AB2">
              <w:rPr>
                <w:i/>
                <w:iCs/>
                <w:lang w:eastAsia="pt-BR"/>
              </w:rPr>
              <w:t>Transporte, armazenagem e correio</w:t>
            </w:r>
            <w:r w:rsidRPr="00AC5AB2">
              <w:rPr>
                <w:lang w:eastAsia="pt-BR"/>
              </w:rPr>
              <w:t xml:space="preserve"> (2,8%). Ao longo de todo o ano de 2011, o crescimento da população empregada e da massa real de salários, ao lado da expansão do crédito ao consumo, sustentaram o crescimento das vendas no comércio, principalmente o varejista, em ritmo superior ao registrado pela atividade industrial. Por fim, </w:t>
            </w:r>
            <w:r w:rsidRPr="00AC5AB2">
              <w:rPr>
                <w:i/>
                <w:iCs/>
                <w:lang w:eastAsia="pt-BR"/>
              </w:rPr>
              <w:t>Outros serviços</w:t>
            </w:r>
            <w:r w:rsidRPr="00AC5AB2">
              <w:rPr>
                <w:lang w:eastAsia="pt-BR"/>
              </w:rPr>
              <w:t xml:space="preserve"> e </w:t>
            </w:r>
            <w:r w:rsidRPr="00AC5AB2">
              <w:rPr>
                <w:i/>
                <w:iCs/>
                <w:lang w:eastAsia="pt-BR"/>
              </w:rPr>
              <w:t>Administração, saúde e educação pública</w:t>
            </w:r>
            <w:r w:rsidRPr="00AC5AB2">
              <w:rPr>
                <w:lang w:eastAsia="pt-BR"/>
              </w:rPr>
              <w:t xml:space="preserve"> cresceram, ambas, 2,3%, seguidas por </w:t>
            </w:r>
            <w:r w:rsidRPr="00AC5AB2">
              <w:rPr>
                <w:i/>
                <w:iCs/>
                <w:lang w:eastAsia="pt-BR"/>
              </w:rPr>
              <w:t>Serviços imobiliários e aluguel</w:t>
            </w:r>
            <w:r w:rsidRPr="00AC5AB2">
              <w:rPr>
                <w:lang w:eastAsia="pt-BR"/>
              </w:rPr>
              <w:t xml:space="preserve"> (1,4%).</w:t>
            </w:r>
          </w:p>
          <w:p w:rsidR="00AC5AB2" w:rsidRPr="00AC5AB2" w:rsidRDefault="00AC5AB2" w:rsidP="002847F6">
            <w:pPr>
              <w:pStyle w:val="ABNT"/>
              <w:spacing w:line="240" w:lineRule="auto"/>
              <w:rPr>
                <w:lang w:eastAsia="pt-BR"/>
              </w:rPr>
            </w:pPr>
            <w:r w:rsidRPr="00AC5AB2">
              <w:rPr>
                <w:lang w:eastAsia="pt-BR"/>
              </w:rPr>
              <w:t xml:space="preserve">Na indústria (1,6%), o destaque foi o crescimento no ano de </w:t>
            </w:r>
            <w:r w:rsidRPr="00AC5AB2">
              <w:rPr>
                <w:i/>
                <w:iCs/>
                <w:lang w:eastAsia="pt-BR"/>
              </w:rPr>
              <w:t>Eletricidade e gás, água, esgoto e limpeza urbana</w:t>
            </w:r>
            <w:r w:rsidRPr="00AC5AB2">
              <w:rPr>
                <w:lang w:eastAsia="pt-BR"/>
              </w:rPr>
              <w:t xml:space="preserve"> (3,8%) e da </w:t>
            </w:r>
            <w:r w:rsidRPr="00AC5AB2">
              <w:rPr>
                <w:i/>
                <w:iCs/>
                <w:lang w:eastAsia="pt-BR"/>
              </w:rPr>
              <w:t>Construção civil</w:t>
            </w:r>
            <w:r w:rsidRPr="00AC5AB2">
              <w:rPr>
                <w:lang w:eastAsia="pt-BR"/>
              </w:rPr>
              <w:t xml:space="preserve"> (3,6%). O desempenho da construção civil em 2011 é confirmado pelo aumento da população ocupada no setor, que acumulou crescimento de 3,9% segundo a Pesquisa Mensal de Emprego do IBGE, e pelo desempenho do crédito direcionado. A </w:t>
            </w:r>
            <w:r w:rsidRPr="00AC5AB2">
              <w:rPr>
                <w:i/>
                <w:iCs/>
                <w:lang w:eastAsia="pt-BR"/>
              </w:rPr>
              <w:t>Extrativa mineral</w:t>
            </w:r>
            <w:r w:rsidRPr="00AC5AB2">
              <w:rPr>
                <w:lang w:eastAsia="pt-BR"/>
              </w:rPr>
              <w:t xml:space="preserve"> acumulou expansão de 3,2%, com destaque para a extração de minério de ferro. A </w:t>
            </w:r>
            <w:r w:rsidRPr="00AC5AB2">
              <w:rPr>
                <w:i/>
                <w:iCs/>
                <w:lang w:eastAsia="pt-BR"/>
              </w:rPr>
              <w:t>Indústria de transformação</w:t>
            </w:r>
            <w:r w:rsidRPr="00AC5AB2">
              <w:rPr>
                <w:lang w:eastAsia="pt-BR"/>
              </w:rPr>
              <w:t>, por sua vez, apresentou estabilidade em relação ao ano anterior, com variação de 0,1%, influenciado, principalmente, pela redução do Valor Adicionado de artigos do vestuário e acessórios; artigos de plástico; metalurgia; máquinas, aparelhos e material elétrico; e automóveis.</w:t>
            </w:r>
          </w:p>
          <w:p w:rsidR="00AC5AB2" w:rsidRPr="00AC5AB2" w:rsidRDefault="00AC5AB2" w:rsidP="002847F6">
            <w:pPr>
              <w:pStyle w:val="ABNT"/>
              <w:spacing w:line="240" w:lineRule="auto"/>
              <w:rPr>
                <w:lang w:eastAsia="pt-BR"/>
              </w:rPr>
            </w:pPr>
            <w:r w:rsidRPr="00AC5AB2">
              <w:rPr>
                <w:lang w:eastAsia="pt-BR"/>
              </w:rPr>
              <w:t>Na análise da demanda, a despesa de consumo das famílias cresceu 4,1% em 2011, oitavo ano consecutivo de aumento. A Despesa do Consumo da Administração Pública aumentou 1,9% e a Formação Bruta de Capital Fixo, por sua vez, apresentou expansão de 4,7%.</w:t>
            </w:r>
          </w:p>
          <w:p w:rsidR="00AC5AB2" w:rsidRPr="00AC5AB2" w:rsidRDefault="00AC5AB2" w:rsidP="002847F6">
            <w:pPr>
              <w:pStyle w:val="ABNT"/>
              <w:spacing w:line="240" w:lineRule="auto"/>
              <w:rPr>
                <w:lang w:eastAsia="pt-BR"/>
              </w:rPr>
            </w:pPr>
            <w:r w:rsidRPr="00AC5AB2">
              <w:rPr>
                <w:lang w:eastAsia="pt-BR"/>
              </w:rPr>
              <w:t>No âmbito do setor externo, as exportações tiveram crescimento de 4,5%, e as importações se expandiram 9,7%. Contribui para este quadro a valorização do Real ocorrida entre 2010 e 2011. A taxa de câmbio (medida pela média anual das taxas de câmbio R$/US$ de compra e venda) variou de 1,76 para 1,67.</w:t>
            </w:r>
          </w:p>
          <w:p w:rsidR="00AC5AB2" w:rsidRPr="00AC5AB2" w:rsidRDefault="00AC5AB2" w:rsidP="00AC5AB2">
            <w:pPr>
              <w:pStyle w:val="ABNT"/>
              <w:spacing w:line="240" w:lineRule="auto"/>
              <w:rPr>
                <w:lang w:eastAsia="pt-BR"/>
              </w:rPr>
            </w:pPr>
            <w:r w:rsidRPr="00AC5AB2">
              <w:rPr>
                <w:lang w:eastAsia="pt-BR"/>
              </w:rPr>
              <w:t>A taxa de investimento no ano de 2011 foi de 19,3% do PIB, inferior à taxa referente ao ano anterior (19,5%). A taxa de poupança alcançou 17,2% em 2011 contra 17,5% em 2010.</w:t>
            </w:r>
          </w:p>
          <w:p w:rsidR="00AC5AB2" w:rsidRDefault="00AC5A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 w:eastAsia="pt-BR"/>
              </w:rPr>
            </w:pPr>
          </w:p>
          <w:p w:rsidR="008C04EB" w:rsidRDefault="008C04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 w:eastAsia="pt-BR"/>
              </w:rPr>
            </w:pPr>
          </w:p>
          <w:p w:rsidR="008C04EB" w:rsidRDefault="008C04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 w:eastAsia="pt-BR"/>
              </w:rPr>
            </w:pPr>
          </w:p>
          <w:p w:rsidR="008C04EB" w:rsidRDefault="008C04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 w:eastAsia="pt-BR"/>
              </w:rPr>
            </w:pPr>
          </w:p>
          <w:p w:rsidR="008C04EB" w:rsidRDefault="008C04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 w:eastAsia="pt-BR"/>
              </w:rPr>
            </w:pPr>
          </w:p>
          <w:p w:rsidR="008C04EB" w:rsidRDefault="008C04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 w:eastAsia="pt-BR"/>
              </w:rPr>
            </w:pPr>
          </w:p>
          <w:p w:rsidR="008C04EB" w:rsidRDefault="008C04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 w:eastAsia="pt-BR"/>
              </w:rPr>
            </w:pPr>
          </w:p>
          <w:p w:rsidR="008C04EB" w:rsidRPr="00AC5AB2" w:rsidRDefault="008C04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 w:eastAsia="pt-BR"/>
              </w:rPr>
            </w:pPr>
          </w:p>
          <w:p w:rsidR="00AC5AB2" w:rsidRPr="00AC5AB2" w:rsidRDefault="008C04EB">
            <w:pPr>
              <w:rPr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 w:eastAsia="pt-BR"/>
              </w:rPr>
              <w:lastRenderedPageBreak/>
              <w:t>Anexo II</w:t>
            </w:r>
          </w:p>
          <w:tbl>
            <w:tblPr>
              <w:tblW w:w="9915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03"/>
              <w:gridCol w:w="9692"/>
              <w:gridCol w:w="20"/>
            </w:tblGrid>
            <w:tr w:rsidR="00AC5AB2">
              <w:trPr>
                <w:tblCellSpacing w:w="0" w:type="dxa"/>
              </w:trPr>
              <w:tc>
                <w:tcPr>
                  <w:tcW w:w="203" w:type="dxa"/>
                  <w:hideMark/>
                </w:tcPr>
                <w:p w:rsidR="00AC5AB2" w:rsidRDefault="00AC5AB2">
                  <w:pPr>
                    <w:spacing w:after="200" w:line="276" w:lineRule="auto"/>
                    <w:rPr>
                      <w:lang w:val="pt-BR"/>
                    </w:rPr>
                  </w:pPr>
                </w:p>
              </w:tc>
              <w:tc>
                <w:tcPr>
                  <w:tcW w:w="9690" w:type="dxa"/>
                  <w:hideMark/>
                </w:tcPr>
                <w:tbl>
                  <w:tblPr>
                    <w:tblW w:w="5000" w:type="pct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264"/>
                    <w:gridCol w:w="5428"/>
                  </w:tblGrid>
                  <w:tr w:rsidR="00AC5AB2" w:rsidRPr="0028448D">
                    <w:trPr>
                      <w:tblCellSpacing w:w="0" w:type="dxa"/>
                    </w:trPr>
                    <w:tc>
                      <w:tcPr>
                        <w:tcW w:w="2200" w:type="pct"/>
                        <w:vAlign w:val="center"/>
                        <w:hideMark/>
                      </w:tcPr>
                      <w:p w:rsidR="00AC5AB2" w:rsidRDefault="00AC5AB2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pt-BR" w:eastAsia="pt-B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val="pt-BR" w:eastAsia="pt-BR"/>
                          </w:rPr>
                          <w:drawing>
                            <wp:inline distT="0" distB="0" distL="0" distR="0">
                              <wp:extent cx="1906905" cy="583565"/>
                              <wp:effectExtent l="0" t="0" r="0" b="6985"/>
                              <wp:docPr id="29" name="Picture 29" descr="http://www.ibge.gov.br/home/images/ibge3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m 20" descr="http://www.ibge.gov.br/home/images/ibge3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6905" cy="5835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00" w:type="pct"/>
                        <w:vAlign w:val="center"/>
                        <w:hideMark/>
                      </w:tcPr>
                      <w:p w:rsidR="00AC5AB2" w:rsidRDefault="00AC5AB2">
                        <w:pPr>
                          <w:spacing w:before="100" w:beforeAutospacing="1" w:after="100" w:afterAutospacing="1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pt-BR" w:eastAsia="pt-BR"/>
                          </w:rPr>
                        </w:pPr>
                        <w:r w:rsidRPr="00AC5AB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7"/>
                            <w:szCs w:val="27"/>
                            <w:lang w:val="pt-BR" w:eastAsia="pt-BR"/>
                          </w:rPr>
                          <w:t>Comunicação Social</w:t>
                        </w:r>
                        <w:r w:rsidRPr="00AC5AB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7"/>
                            <w:szCs w:val="27"/>
                            <w:lang w:val="pt-BR" w:eastAsia="pt-BR"/>
                          </w:rPr>
                          <w:br/>
                          <w:t xml:space="preserve">03 de março de 2011 </w:t>
                        </w:r>
                      </w:p>
                    </w:tc>
                  </w:tr>
                  <w:tr w:rsidR="00AC5AB2">
                    <w:trPr>
                      <w:trHeight w:val="30"/>
                      <w:tblCellSpacing w:w="0" w:type="dxa"/>
                    </w:trPr>
                    <w:tc>
                      <w:tcPr>
                        <w:tcW w:w="9690" w:type="dxa"/>
                        <w:gridSpan w:val="2"/>
                        <w:vAlign w:val="center"/>
                        <w:hideMark/>
                      </w:tcPr>
                      <w:p w:rsidR="00AC5AB2" w:rsidRDefault="00AC5AB2">
                        <w:pPr>
                          <w:spacing w:line="3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pt-BR" w:eastAsia="pt-B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val="pt-BR" w:eastAsia="pt-BR"/>
                          </w:rPr>
                          <w:drawing>
                            <wp:inline distT="0" distB="0" distL="0" distR="0">
                              <wp:extent cx="622300" cy="19685"/>
                              <wp:effectExtent l="0" t="0" r="6350" b="0"/>
                              <wp:docPr id="28" name="Picture 28" descr="http://www.ibge.gov.br/home/presidencia/noticias/images/pixel_preto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m 19" descr="http://www.ibge.gov.br/home/presidencia/noticias/images/pixel_preto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2300" cy="19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C5AB2">
                    <w:trPr>
                      <w:trHeight w:val="30"/>
                      <w:tblCellSpacing w:w="0" w:type="dxa"/>
                    </w:trPr>
                    <w:tc>
                      <w:tcPr>
                        <w:tcW w:w="9690" w:type="dxa"/>
                        <w:gridSpan w:val="2"/>
                        <w:vAlign w:val="center"/>
                        <w:hideMark/>
                      </w:tcPr>
                      <w:p w:rsidR="00AC5AB2" w:rsidRDefault="00AC5AB2">
                        <w:pPr>
                          <w:spacing w:line="3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pt-BR" w:eastAsia="pt-B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t> </w:t>
                        </w:r>
                      </w:p>
                    </w:tc>
                  </w:tr>
                </w:tbl>
                <w:p w:rsidR="00AC5AB2" w:rsidRDefault="00AC5AB2">
                  <w:pPr>
                    <w:spacing w:after="200" w:line="276" w:lineRule="auto"/>
                    <w:rPr>
                      <w:lang w:val="pt-BR"/>
                    </w:rPr>
                  </w:pPr>
                </w:p>
              </w:tc>
              <w:tc>
                <w:tcPr>
                  <w:tcW w:w="20" w:type="dxa"/>
                  <w:hideMark/>
                </w:tcPr>
                <w:p w:rsidR="00AC5AB2" w:rsidRDefault="00AC5AB2">
                  <w:pPr>
                    <w:spacing w:after="200" w:line="276" w:lineRule="auto"/>
                    <w:rPr>
                      <w:lang w:val="pt-BR"/>
                    </w:rPr>
                  </w:pPr>
                </w:p>
              </w:tc>
            </w:tr>
            <w:tr w:rsidR="00AC5AB2" w:rsidTr="004858F9">
              <w:trPr>
                <w:tblCellSpacing w:w="0" w:type="dxa"/>
              </w:trPr>
              <w:tc>
                <w:tcPr>
                  <w:tcW w:w="203" w:type="dxa"/>
                  <w:hideMark/>
                </w:tcPr>
                <w:p w:rsidR="00AC5AB2" w:rsidRDefault="00AC5AB2">
                  <w:pPr>
                    <w:spacing w:after="200" w:line="276" w:lineRule="auto"/>
                    <w:rPr>
                      <w:lang w:val="pt-BR"/>
                    </w:rPr>
                  </w:pPr>
                </w:p>
              </w:tc>
              <w:tc>
                <w:tcPr>
                  <w:tcW w:w="9690" w:type="dxa"/>
                  <w:vAlign w:val="center"/>
                  <w:hideMark/>
                </w:tcPr>
                <w:p w:rsidR="00AC5AB2" w:rsidRPr="00AC5AB2" w:rsidRDefault="00AC5AB2" w:rsidP="004858F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pt-BR" w:eastAsia="pt-BR"/>
                    </w:rPr>
                  </w:pPr>
                  <w:r w:rsidRPr="00AC5AB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pt-BR" w:eastAsia="pt-BR"/>
                    </w:rPr>
                    <w:br/>
                  </w:r>
                  <w:r w:rsidRPr="00AC5AB2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val="pt-BR" w:eastAsia="pt-BR"/>
                    </w:rPr>
                    <w:t>Contas Nacionais Trimestrais-Indicadores de Volume</w:t>
                  </w:r>
                </w:p>
                <w:p w:rsidR="00AC5AB2" w:rsidRPr="00AC5AB2" w:rsidRDefault="00AC5AB2" w:rsidP="004858F9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pt-BR" w:eastAsia="pt-BR"/>
                    </w:rPr>
                  </w:pPr>
                  <w:r w:rsidRPr="00AC5AB2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val="pt-BR" w:eastAsia="pt-BR"/>
                    </w:rPr>
                    <w:t>Em 2010, PIB varia 7,5% e fica em R$ 3,675 trilhões</w:t>
                  </w:r>
                </w:p>
                <w:p w:rsidR="00AC5AB2" w:rsidRDefault="00AC5AB2" w:rsidP="004858F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pt-BR" w:eastAsia="pt-BR"/>
                    </w:rPr>
                    <w:drawing>
                      <wp:inline distT="0" distB="0" distL="0" distR="0">
                        <wp:extent cx="5038725" cy="1790065"/>
                        <wp:effectExtent l="0" t="0" r="9525" b="635"/>
                        <wp:docPr id="27" name="Picture 27" descr="http://www.ibge.gov.br/home/presidencia/noticias/images/1830_2950_190253_7989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8" descr="http://www.ibge.gov.br/home/presidencia/noticias/images/1830_2950_190253_7989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8725" cy="1790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5AB2" w:rsidRPr="00AC5AB2" w:rsidRDefault="00AC5AB2" w:rsidP="002847F6">
                  <w:pPr>
                    <w:pStyle w:val="ABNT"/>
                    <w:spacing w:line="240" w:lineRule="auto"/>
                    <w:rPr>
                      <w:lang w:eastAsia="pt-BR"/>
                    </w:rPr>
                  </w:pPr>
                  <w:r w:rsidRPr="00AC5AB2">
                    <w:rPr>
                      <w:b/>
                      <w:bCs/>
                      <w:lang w:eastAsia="pt-BR"/>
                    </w:rPr>
                    <w:t>Em relação ao terceiro trimestre de 2010</w:t>
                  </w:r>
                  <w:r w:rsidRPr="00AC5AB2">
                    <w:rPr>
                      <w:lang w:eastAsia="pt-BR"/>
                    </w:rPr>
                    <w:t xml:space="preserve">, o PIB a preços de mercado do quarto trimestre do ano passado cresceu </w:t>
                  </w:r>
                  <w:r w:rsidRPr="00AC5AB2">
                    <w:rPr>
                      <w:b/>
                      <w:bCs/>
                      <w:lang w:eastAsia="pt-BR"/>
                    </w:rPr>
                    <w:t>0,7%</w:t>
                  </w:r>
                  <w:r w:rsidRPr="00AC5AB2">
                    <w:rPr>
                      <w:lang w:eastAsia="pt-BR"/>
                    </w:rPr>
                    <w:t xml:space="preserve">, levando-se em consideração a série com ajuste sazonal. Os </w:t>
                  </w:r>
                  <w:r w:rsidRPr="00AC5AB2">
                    <w:rPr>
                      <w:b/>
                      <w:bCs/>
                      <w:lang w:eastAsia="pt-BR"/>
                    </w:rPr>
                    <w:t>serviços</w:t>
                  </w:r>
                  <w:r w:rsidRPr="00AC5AB2">
                    <w:rPr>
                      <w:lang w:eastAsia="pt-BR"/>
                    </w:rPr>
                    <w:t xml:space="preserve"> registraram aumento (1,0%), enquanto </w:t>
                  </w:r>
                  <w:r w:rsidRPr="00AC5AB2">
                    <w:rPr>
                      <w:b/>
                      <w:bCs/>
                      <w:lang w:eastAsia="pt-BR"/>
                    </w:rPr>
                    <w:t xml:space="preserve">indústria </w:t>
                  </w:r>
                  <w:r w:rsidRPr="00AC5AB2">
                    <w:rPr>
                      <w:lang w:eastAsia="pt-BR"/>
                    </w:rPr>
                    <w:t xml:space="preserve">(-0,3%) e </w:t>
                  </w:r>
                  <w:r w:rsidRPr="00AC5AB2">
                    <w:rPr>
                      <w:b/>
                      <w:bCs/>
                      <w:lang w:eastAsia="pt-BR"/>
                    </w:rPr>
                    <w:t>agropecuária</w:t>
                  </w:r>
                  <w:r w:rsidRPr="00AC5AB2">
                    <w:rPr>
                      <w:lang w:eastAsia="pt-BR"/>
                    </w:rPr>
                    <w:t xml:space="preserve"> (-0,8%) caíram.</w:t>
                  </w:r>
                </w:p>
                <w:p w:rsidR="00AC5AB2" w:rsidRPr="00AC5AB2" w:rsidRDefault="00AC5AB2" w:rsidP="002847F6">
                  <w:pPr>
                    <w:pStyle w:val="ABNT"/>
                    <w:spacing w:line="240" w:lineRule="auto"/>
                    <w:rPr>
                      <w:lang w:eastAsia="pt-BR"/>
                    </w:rPr>
                  </w:pPr>
                  <w:r w:rsidRPr="00AC5AB2">
                    <w:rPr>
                      <w:b/>
                      <w:bCs/>
                      <w:lang w:eastAsia="pt-BR"/>
                    </w:rPr>
                    <w:t>Na comparação com o quarto trimestre de 2009</w:t>
                  </w:r>
                  <w:r w:rsidRPr="00AC5AB2">
                    <w:rPr>
                      <w:lang w:eastAsia="pt-BR"/>
                    </w:rPr>
                    <w:t xml:space="preserve">, o PIB cresceu </w:t>
                  </w:r>
                  <w:r w:rsidRPr="00AC5AB2">
                    <w:rPr>
                      <w:b/>
                      <w:bCs/>
                      <w:lang w:eastAsia="pt-BR"/>
                    </w:rPr>
                    <w:t>5,0%</w:t>
                  </w:r>
                  <w:r w:rsidRPr="00AC5AB2">
                    <w:rPr>
                      <w:lang w:eastAsia="pt-BR"/>
                    </w:rPr>
                    <w:t xml:space="preserve">, sendo que o </w:t>
                  </w:r>
                  <w:r w:rsidRPr="00AC5AB2">
                    <w:rPr>
                      <w:b/>
                      <w:bCs/>
                      <w:lang w:eastAsia="pt-BR"/>
                    </w:rPr>
                    <w:t>valor adicionado a preços básicos</w:t>
                  </w:r>
                  <w:r w:rsidRPr="00AC5AB2">
                    <w:rPr>
                      <w:lang w:eastAsia="pt-BR"/>
                    </w:rPr>
                    <w:t xml:space="preserve"> aumentou 4,2%, e os </w:t>
                  </w:r>
                  <w:r w:rsidRPr="00AC5AB2">
                    <w:rPr>
                      <w:b/>
                      <w:bCs/>
                      <w:lang w:eastAsia="pt-BR"/>
                    </w:rPr>
                    <w:t>impostos sobre produtos</w:t>
                  </w:r>
                  <w:r w:rsidRPr="00AC5AB2">
                    <w:rPr>
                      <w:lang w:eastAsia="pt-BR"/>
                    </w:rPr>
                    <w:t xml:space="preserve">, 10,1%. Dentre as atividades econômicas, destacaram-se os </w:t>
                  </w:r>
                  <w:r w:rsidRPr="00AC5AB2">
                    <w:rPr>
                      <w:b/>
                      <w:bCs/>
                      <w:lang w:eastAsia="pt-BR"/>
                    </w:rPr>
                    <w:t>serviços</w:t>
                  </w:r>
                  <w:r w:rsidRPr="00AC5AB2">
                    <w:rPr>
                      <w:lang w:eastAsia="pt-BR"/>
                    </w:rPr>
                    <w:t xml:space="preserve"> (4,6%) e a </w:t>
                  </w:r>
                  <w:r w:rsidRPr="00AC5AB2">
                    <w:rPr>
                      <w:b/>
                      <w:bCs/>
                      <w:lang w:eastAsia="pt-BR"/>
                    </w:rPr>
                    <w:t>indústria</w:t>
                  </w:r>
                  <w:r w:rsidRPr="00AC5AB2">
                    <w:rPr>
                      <w:lang w:eastAsia="pt-BR"/>
                    </w:rPr>
                    <w:t xml:space="preserve"> (4,3%). A </w:t>
                  </w:r>
                  <w:r w:rsidRPr="00AC5AB2">
                    <w:rPr>
                      <w:b/>
                      <w:bCs/>
                      <w:lang w:eastAsia="pt-BR"/>
                    </w:rPr>
                    <w:t>agropecuária</w:t>
                  </w:r>
                  <w:r w:rsidRPr="00AC5AB2">
                    <w:rPr>
                      <w:lang w:eastAsia="pt-BR"/>
                    </w:rPr>
                    <w:t xml:space="preserve"> (1,1%) também registrou crescimento.</w:t>
                  </w:r>
                </w:p>
                <w:p w:rsidR="00AC5AB2" w:rsidRPr="00AC5AB2" w:rsidRDefault="00AC5AB2" w:rsidP="002847F6">
                  <w:pPr>
                    <w:pStyle w:val="ABNT"/>
                    <w:spacing w:line="240" w:lineRule="auto"/>
                    <w:rPr>
                      <w:lang w:eastAsia="pt-BR"/>
                    </w:rPr>
                  </w:pPr>
                  <w:r w:rsidRPr="00AC5AB2">
                    <w:rPr>
                      <w:b/>
                      <w:bCs/>
                      <w:lang w:eastAsia="pt-BR"/>
                    </w:rPr>
                    <w:t>No acumulado no ano de 2010</w:t>
                  </w:r>
                  <w:r w:rsidRPr="00AC5AB2">
                    <w:rPr>
                      <w:lang w:eastAsia="pt-BR"/>
                    </w:rPr>
                    <w:t xml:space="preserve">, em relação ao mesmo período de 2009, o PIB variou </w:t>
                  </w:r>
                  <w:r w:rsidRPr="00AC5AB2">
                    <w:rPr>
                      <w:b/>
                      <w:bCs/>
                      <w:lang w:eastAsia="pt-BR"/>
                    </w:rPr>
                    <w:t>7,5%</w:t>
                  </w:r>
                  <w:r w:rsidRPr="00AC5AB2">
                    <w:rPr>
                      <w:lang w:eastAsia="pt-BR"/>
                    </w:rPr>
                    <w:t xml:space="preserve">, resultado do crescimento de </w:t>
                  </w:r>
                  <w:r w:rsidRPr="00AC5AB2">
                    <w:rPr>
                      <w:b/>
                      <w:bCs/>
                      <w:lang w:eastAsia="pt-BR"/>
                    </w:rPr>
                    <w:t>6,7</w:t>
                  </w:r>
                  <w:r w:rsidRPr="00AC5AB2">
                    <w:rPr>
                      <w:lang w:eastAsia="pt-BR"/>
                    </w:rPr>
                    <w:t xml:space="preserve">% no </w:t>
                  </w:r>
                  <w:r w:rsidRPr="00AC5AB2">
                    <w:rPr>
                      <w:b/>
                      <w:bCs/>
                      <w:lang w:eastAsia="pt-BR"/>
                    </w:rPr>
                    <w:t>valor adicionado</w:t>
                  </w:r>
                  <w:r w:rsidRPr="00AC5AB2">
                    <w:rPr>
                      <w:lang w:eastAsia="pt-BR"/>
                    </w:rPr>
                    <w:t xml:space="preserve"> e </w:t>
                  </w:r>
                  <w:r w:rsidRPr="00AC5AB2">
                    <w:rPr>
                      <w:b/>
                      <w:bCs/>
                      <w:lang w:eastAsia="pt-BR"/>
                    </w:rPr>
                    <w:t>12,5</w:t>
                  </w:r>
                  <w:r w:rsidRPr="00AC5AB2">
                    <w:rPr>
                      <w:lang w:eastAsia="pt-BR"/>
                    </w:rPr>
                    <w:t xml:space="preserve">% nos </w:t>
                  </w:r>
                  <w:r w:rsidRPr="00AC5AB2">
                    <w:rPr>
                      <w:b/>
                      <w:bCs/>
                      <w:lang w:eastAsia="pt-BR"/>
                    </w:rPr>
                    <w:t>impostos</w:t>
                  </w:r>
                  <w:r w:rsidRPr="00AC5AB2">
                    <w:rPr>
                      <w:lang w:eastAsia="pt-BR"/>
                    </w:rPr>
                    <w:t xml:space="preserve">. Nessa comparação, a </w:t>
                  </w:r>
                  <w:r w:rsidRPr="00AC5AB2">
                    <w:rPr>
                      <w:b/>
                      <w:bCs/>
                      <w:lang w:eastAsia="pt-BR"/>
                    </w:rPr>
                    <w:t>agropecuária</w:t>
                  </w:r>
                  <w:r w:rsidRPr="00AC5AB2">
                    <w:rPr>
                      <w:lang w:eastAsia="pt-BR"/>
                    </w:rPr>
                    <w:t xml:space="preserve"> (6,5%), a </w:t>
                  </w:r>
                  <w:r w:rsidRPr="00AC5AB2">
                    <w:rPr>
                      <w:b/>
                      <w:bCs/>
                      <w:lang w:eastAsia="pt-BR"/>
                    </w:rPr>
                    <w:t>indústria</w:t>
                  </w:r>
                  <w:r w:rsidRPr="00AC5AB2">
                    <w:rPr>
                      <w:lang w:eastAsia="pt-BR"/>
                    </w:rPr>
                    <w:t xml:space="preserve"> (10,1%) e os </w:t>
                  </w:r>
                  <w:r w:rsidRPr="00AC5AB2">
                    <w:rPr>
                      <w:b/>
                      <w:bCs/>
                      <w:lang w:eastAsia="pt-BR"/>
                    </w:rPr>
                    <w:t>serviços</w:t>
                  </w:r>
                  <w:r w:rsidRPr="00AC5AB2">
                    <w:rPr>
                      <w:lang w:eastAsia="pt-BR"/>
                    </w:rPr>
                    <w:t xml:space="preserve"> (5,4%) cresceram. Assim, segundo as informações das Contas Nacionais Trimestrais, em 2010, o </w:t>
                  </w:r>
                  <w:r w:rsidRPr="00AC5AB2">
                    <w:rPr>
                      <w:b/>
                      <w:bCs/>
                      <w:lang w:eastAsia="pt-BR"/>
                    </w:rPr>
                    <w:t>PIB em valores correntes</w:t>
                  </w:r>
                  <w:r w:rsidRPr="00AC5AB2">
                    <w:rPr>
                      <w:lang w:eastAsia="pt-BR"/>
                    </w:rPr>
                    <w:t xml:space="preserve"> alcançou </w:t>
                  </w:r>
                  <w:r w:rsidRPr="00AC5AB2">
                    <w:rPr>
                      <w:b/>
                      <w:bCs/>
                      <w:lang w:eastAsia="pt-BR"/>
                    </w:rPr>
                    <w:t>R$ 3,675 trilhões</w:t>
                  </w:r>
                  <w:r w:rsidRPr="00AC5AB2">
                    <w:rPr>
                      <w:lang w:eastAsia="pt-BR"/>
                    </w:rPr>
                    <w:t>. O PIB per capita ficou em R$ 19.016, apresentando uma alta de 6,5%, em volume, em relação a 2009 (R$ 16.634).</w:t>
                  </w:r>
                </w:p>
                <w:p w:rsidR="00AC5AB2" w:rsidRDefault="00AC5AB2" w:rsidP="004858F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pt-BR" w:eastAsia="pt-BR"/>
                    </w:rPr>
                    <w:lastRenderedPageBreak/>
                    <w:drawing>
                      <wp:inline distT="0" distB="0" distL="0" distR="0">
                        <wp:extent cx="5038725" cy="3443605"/>
                        <wp:effectExtent l="0" t="0" r="9525" b="4445"/>
                        <wp:docPr id="26" name="Picture 26" descr="http://www.ibge.gov.br/home/presidencia/noticias/images/1830_2950_190310_5617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7" descr="http://www.ibge.gov.br/home/presidencia/noticias/images/1830_2950_190310_5617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8725" cy="3443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5AB2" w:rsidRPr="00AC5AB2" w:rsidRDefault="00AC5AB2" w:rsidP="002847F6">
                  <w:pPr>
                    <w:pStyle w:val="ABNT"/>
                    <w:spacing w:line="240" w:lineRule="auto"/>
                    <w:rPr>
                      <w:b/>
                      <w:lang w:eastAsia="pt-BR"/>
                    </w:rPr>
                  </w:pPr>
                  <w:r w:rsidRPr="00AC5AB2">
                    <w:rPr>
                      <w:b/>
                      <w:lang w:eastAsia="pt-BR"/>
                    </w:rPr>
                    <w:t>Em relação ao 3º tri de 2010, serviços é a única atividade que cresceu</w:t>
                  </w:r>
                </w:p>
                <w:p w:rsidR="00AC5AB2" w:rsidRPr="00AC5AB2" w:rsidRDefault="00AC5AB2" w:rsidP="002847F6">
                  <w:pPr>
                    <w:pStyle w:val="ABNT"/>
                    <w:spacing w:line="240" w:lineRule="auto"/>
                    <w:rPr>
                      <w:lang w:eastAsia="pt-BR"/>
                    </w:rPr>
                  </w:pPr>
                  <w:r w:rsidRPr="00AC5AB2">
                    <w:rPr>
                      <w:lang w:eastAsia="pt-BR"/>
                    </w:rPr>
                    <w:t>O PIB cresceu 0,7% na comparação do quarto trimestre contra o terceiro trimestre de 2010, sendo que as variações por atividade econômica foram: serviços, 1,0%; indústria, -0,3%; e agropecuária, -0,8%.</w:t>
                  </w:r>
                </w:p>
                <w:p w:rsidR="00AC5AB2" w:rsidRPr="00AC5AB2" w:rsidRDefault="00AC5AB2" w:rsidP="002847F6">
                  <w:pPr>
                    <w:pStyle w:val="ABNT"/>
                    <w:spacing w:line="240" w:lineRule="auto"/>
                    <w:rPr>
                      <w:lang w:eastAsia="pt-BR"/>
                    </w:rPr>
                  </w:pPr>
                  <w:r w:rsidRPr="00AC5AB2">
                    <w:rPr>
                      <w:lang w:eastAsia="pt-BR"/>
                    </w:rPr>
                    <w:t>Entre os componentes da demanda interna, destaque para o crescimento da Despesa de Consumo das Famílias, que voltou a acelerar e registrou expansão de 2,5% no último trimestre de 2010. A Formação Bruta de Capital Fixo (FBCF, ou investimento) desacelerou e teve variação de 0,7% no quarto trimestre de 2010. Já a Despesa de Consumo da Administração Pública, teve variação negativa de 0,3% em relação ao terceiro trimestre.</w:t>
                  </w:r>
                </w:p>
                <w:p w:rsidR="00AC5AB2" w:rsidRPr="00AC5AB2" w:rsidRDefault="00AC5AB2" w:rsidP="002847F6">
                  <w:pPr>
                    <w:pStyle w:val="ABNT"/>
                    <w:spacing w:line="240" w:lineRule="auto"/>
                    <w:rPr>
                      <w:lang w:eastAsia="pt-BR"/>
                    </w:rPr>
                  </w:pPr>
                  <w:r w:rsidRPr="00AC5AB2">
                    <w:rPr>
                      <w:lang w:eastAsia="pt-BR"/>
                    </w:rPr>
                    <w:t>Pelo lado do setor externo, tanto as Exportações de Bens e Serviços como as Importações de Bens e Serviços apresentaram crescimento, de 3,6% e 3,9%, respectivamente.</w:t>
                  </w:r>
                </w:p>
                <w:p w:rsidR="00AC5AB2" w:rsidRPr="00AC5AB2" w:rsidRDefault="00AC5AB2" w:rsidP="002847F6">
                  <w:pPr>
                    <w:pStyle w:val="ABNT"/>
                    <w:spacing w:line="240" w:lineRule="auto"/>
                    <w:rPr>
                      <w:b/>
                      <w:lang w:eastAsia="pt-BR"/>
                    </w:rPr>
                  </w:pPr>
                  <w:r w:rsidRPr="00AC5AB2">
                    <w:rPr>
                      <w:b/>
                      <w:lang w:eastAsia="pt-BR"/>
                    </w:rPr>
                    <w:t>Na comparação com 2009, crescimento dos serviços é destaque</w:t>
                  </w:r>
                </w:p>
                <w:p w:rsidR="00AC5AB2" w:rsidRPr="00AC5AB2" w:rsidRDefault="00AC5AB2" w:rsidP="002847F6">
                  <w:pPr>
                    <w:pStyle w:val="ABNT"/>
                    <w:spacing w:line="240" w:lineRule="auto"/>
                    <w:rPr>
                      <w:lang w:eastAsia="pt-BR"/>
                    </w:rPr>
                  </w:pPr>
                  <w:r w:rsidRPr="00AC5AB2">
                    <w:rPr>
                      <w:lang w:eastAsia="pt-BR"/>
                    </w:rPr>
                    <w:t>Na comparação do quarto trimestre de 2010 com o quarto trimestre de 2009, o PIB cresceu 5,0%. Dentre as atividades que contribuem para a geração do Valor Adicionado a Preços Básicos, destaca-se o crescimento dos Serviços (4,6%). O aumento de volume do Valor Adicionado da Indústria desacelerou, passando para 4,3%. A Agropecuária, por sua vez, apresentou elevação de 1,1%.</w:t>
                  </w:r>
                </w:p>
                <w:p w:rsidR="00AC5AB2" w:rsidRPr="00AC5AB2" w:rsidRDefault="00AC5AB2" w:rsidP="002847F6">
                  <w:pPr>
                    <w:pStyle w:val="ABNT"/>
                    <w:spacing w:line="240" w:lineRule="auto"/>
                    <w:rPr>
                      <w:lang w:eastAsia="pt-BR"/>
                    </w:rPr>
                  </w:pPr>
                  <w:r w:rsidRPr="00AC5AB2">
                    <w:rPr>
                      <w:lang w:eastAsia="pt-BR"/>
                    </w:rPr>
                    <w:t>A taxa da agropecuária (1,1%) pode ser explicada pelo aumento da produtividade e pelo desempenho de alguns produtos da lavoura que possuem safra relevante no trimestre, como por exemplo, cana (5,7%), trigo (20,1%) e laranja (4,1%), de acordo com o Levantamento Sistemático da Produção Agrícola - LSPA.</w:t>
                  </w:r>
                </w:p>
                <w:p w:rsidR="00AC5AB2" w:rsidRPr="00AC5AB2" w:rsidRDefault="00AC5AB2" w:rsidP="002847F6">
                  <w:pPr>
                    <w:pStyle w:val="ABNT"/>
                    <w:spacing w:line="240" w:lineRule="auto"/>
                    <w:rPr>
                      <w:lang w:eastAsia="pt-BR"/>
                    </w:rPr>
                  </w:pPr>
                  <w:r w:rsidRPr="00AC5AB2">
                    <w:rPr>
                      <w:lang w:eastAsia="pt-BR"/>
                    </w:rPr>
                    <w:t xml:space="preserve">Na atividade industrial (4,3%), as maiores expansões ocorreram na Extrativa mineral (14,8%) e na Construção civil (6,2%). Houve um aumento de 5,1% em Eletricidade e gás, água, esgoto e limpeza urbana, seguida pela Indústria de transformação (2,4%). O resultado da Indústria da transformação foi influenciado, principalmente, pelo aumento da produção de máquinas e </w:t>
                  </w:r>
                  <w:r w:rsidRPr="00AC5AB2">
                    <w:rPr>
                      <w:lang w:eastAsia="pt-BR"/>
                    </w:rPr>
                    <w:lastRenderedPageBreak/>
                    <w:t>equipamentos; produtos de metal; minerais não metálicos e indústria automotiva.</w:t>
                  </w:r>
                </w:p>
                <w:p w:rsidR="00AC5AB2" w:rsidRPr="00AC5AB2" w:rsidRDefault="00AC5AB2" w:rsidP="002847F6">
                  <w:pPr>
                    <w:pStyle w:val="ABNT"/>
                    <w:spacing w:line="240" w:lineRule="auto"/>
                    <w:rPr>
                      <w:lang w:eastAsia="pt-BR"/>
                    </w:rPr>
                  </w:pPr>
                  <w:r w:rsidRPr="00AC5AB2">
                    <w:rPr>
                      <w:lang w:eastAsia="pt-BR"/>
                    </w:rPr>
                    <w:t>Entre os serviços (4,6%), todas as atividades que o compõem registraram crescimento, com destaque para Intermediação financeira e seguros, com crescimento de 11,4%, Comércio (atacadista e varejista), com expansão de 7,5%, e Transporte, armazenagem e correio (que engloba transporte de carga e passageiros), que aumentou 5,3%. As demais variações foram: Serviços de informação, 4,8%; Outros serviços, 3,7%; Serviços imobiliários e aluguel, 1,9%; e Administração, saúde e educação pública, 1,5%.</w:t>
                  </w:r>
                </w:p>
                <w:p w:rsidR="00AC5AB2" w:rsidRPr="00AC5AB2" w:rsidRDefault="00AC5AB2" w:rsidP="002847F6">
                  <w:pPr>
                    <w:pStyle w:val="ABNT"/>
                    <w:spacing w:line="240" w:lineRule="auto"/>
                    <w:rPr>
                      <w:lang w:eastAsia="pt-BR"/>
                    </w:rPr>
                  </w:pPr>
                  <w:r w:rsidRPr="00AC5AB2">
                    <w:rPr>
                      <w:lang w:eastAsia="pt-BR"/>
                    </w:rPr>
                    <w:t>Dentre os componentes da demanda interna, a despesa de consumo das famílias cresceu 7,5%, a 29ª variação positiva seguida nessa base de comparação, influenciada pelo aumento da massa salarial real e do crédito para as pessoas físicas. A despesa de consumo da administração pública cresceu 1,2% e a formação bruta de capital fixo aumentou 12,3%.</w:t>
                  </w:r>
                </w:p>
                <w:p w:rsidR="00AC5AB2" w:rsidRPr="00AC5AB2" w:rsidRDefault="00AC5AB2" w:rsidP="002847F6">
                  <w:pPr>
                    <w:pStyle w:val="ABNT"/>
                    <w:spacing w:line="240" w:lineRule="auto"/>
                    <w:rPr>
                      <w:lang w:eastAsia="pt-BR"/>
                    </w:rPr>
                  </w:pPr>
                  <w:r w:rsidRPr="00AC5AB2">
                    <w:rPr>
                      <w:lang w:eastAsia="pt-BR"/>
                    </w:rPr>
                    <w:t>As Exportações e as Importações de Bens e Serviços apresentaram crescimento de 13,5% e 27,2%, respectivamente, no quarto trimestre de 2010, em relação ao mesmo período de 2009.</w:t>
                  </w:r>
                </w:p>
                <w:p w:rsidR="00AC5AB2" w:rsidRPr="00AC5AB2" w:rsidRDefault="00AC5AB2" w:rsidP="002847F6">
                  <w:pPr>
                    <w:pStyle w:val="ABNT"/>
                    <w:spacing w:line="240" w:lineRule="auto"/>
                    <w:rPr>
                      <w:b/>
                    </w:rPr>
                  </w:pPr>
                  <w:r w:rsidRPr="00AC5AB2">
                    <w:rPr>
                      <w:b/>
                      <w:lang w:eastAsia="pt-BR"/>
                    </w:rPr>
                    <w:t xml:space="preserve">No ano, PIB </w:t>
                  </w:r>
                  <w:r w:rsidRPr="00AC5AB2">
                    <w:rPr>
                      <w:b/>
                    </w:rPr>
                    <w:t>varia 7,5% e PIB per capita 6,5%</w:t>
                  </w:r>
                </w:p>
                <w:p w:rsidR="00AC5AB2" w:rsidRPr="00AC5AB2" w:rsidRDefault="00AC5AB2" w:rsidP="002847F6">
                  <w:pPr>
                    <w:pStyle w:val="ABNT"/>
                    <w:spacing w:line="240" w:lineRule="auto"/>
                  </w:pPr>
                  <w:r w:rsidRPr="00AC5AB2">
                    <w:t>Em 2010, o PIB brasileiro variou 7,5% em relação a 2009. Beneficiado pela baixa base de comparação do ano anterior, o crescimento acumulado do PIB em 2010 é o mais elevado desde 1986 (também de 7,5%). Entre 2001 e 2010, o crescimento anual médio foi de 3,6%, acima do registrado na década anterior (1991-2000), quando o PIB a preços de mercado cresceu, em média, 2,6%.</w:t>
                  </w:r>
                </w:p>
                <w:p w:rsidR="00AC5AB2" w:rsidRPr="00AC5AB2" w:rsidRDefault="00AC5AB2" w:rsidP="002847F6">
                  <w:pPr>
                    <w:pStyle w:val="ABNT"/>
                    <w:spacing w:line="240" w:lineRule="auto"/>
                    <w:rPr>
                      <w:lang w:eastAsia="pt-BR"/>
                    </w:rPr>
                  </w:pPr>
                  <w:r w:rsidRPr="00AC5AB2">
                    <w:t>O PIB per capita é a divisão do valor corrente do PIB pela população residente no meio do ano. Em 2010, o PIB per capita alcançou R$ 19.016, após ter registrado variação, em volume, de 6,5% em relação a 2009. Na década encerrada</w:t>
                  </w:r>
                  <w:r w:rsidRPr="00AC5AB2">
                    <w:rPr>
                      <w:lang w:eastAsia="pt-BR"/>
                    </w:rPr>
                    <w:t xml:space="preserve"> em 2010, o PIB per capita registrou crescimento anual médio de 2,4%, acima da média dos anos 90, quando cresceu, em média, 1,1% ao ano.</w:t>
                  </w:r>
                </w:p>
                <w:p w:rsidR="00AC5AB2" w:rsidRDefault="00AC5AB2" w:rsidP="004858F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pt-BR" w:eastAsia="pt-BR"/>
                    </w:rPr>
                    <w:drawing>
                      <wp:inline distT="0" distB="0" distL="0" distR="0">
                        <wp:extent cx="3087365" cy="2124075"/>
                        <wp:effectExtent l="0" t="0" r="0" b="0"/>
                        <wp:docPr id="25" name="Picture 25" descr="http://www.ibge.gov.br/home/presidencia/noticias/images/1830_2950_190327_4780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6" descr="http://www.ibge.gov.br/home/presidencia/noticias/images/1830_2950_190327_4780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2760" cy="21277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5AB2" w:rsidRPr="00AC5AB2" w:rsidRDefault="00AC5AB2" w:rsidP="002847F6">
                  <w:pPr>
                    <w:pStyle w:val="ABNT"/>
                    <w:spacing w:line="240" w:lineRule="auto"/>
                    <w:rPr>
                      <w:lang w:eastAsia="pt-BR"/>
                    </w:rPr>
                  </w:pPr>
                  <w:r w:rsidRPr="00AC5AB2">
                    <w:rPr>
                      <w:lang w:eastAsia="pt-BR"/>
                    </w:rPr>
                    <w:t>A expansão do PIB resultou do aumento de 6,7% do Valor Adicionado a preços básicos e do crescimento de 12,5% nos Impostos sobre Produtos líquidos de Subsídios. O resultado do Valor Adicionado neste tipo de comparação refletiu o desempenho das três atividades que o compõem: Agropecuária (6,5%), Indústria (10,1%) e Serviços (5,4%).</w:t>
                  </w:r>
                </w:p>
                <w:p w:rsidR="00AC5AB2" w:rsidRPr="00AC5AB2" w:rsidRDefault="00AC5AB2" w:rsidP="002847F6">
                  <w:pPr>
                    <w:pStyle w:val="ABNT"/>
                    <w:spacing w:line="240" w:lineRule="auto"/>
                    <w:rPr>
                      <w:lang w:eastAsia="pt-BR"/>
                    </w:rPr>
                  </w:pPr>
                  <w:r w:rsidRPr="00AC5AB2">
                    <w:rPr>
                      <w:lang w:eastAsia="pt-BR"/>
                    </w:rPr>
                    <w:t>O crescimento da Agropecuária (6,5%) se deve ao aumento de produção de várias culturas importantes da lavoura brasileira, com destaque para soja (20,2%), trigo (20,1%), café (17,6%), milho (9,4%), cana (5,7%) e laranja (4,1%).</w:t>
                  </w:r>
                </w:p>
                <w:p w:rsidR="00AC5AB2" w:rsidRPr="00AC5AB2" w:rsidRDefault="00AC5AB2" w:rsidP="002847F6">
                  <w:pPr>
                    <w:pStyle w:val="ABNT"/>
                    <w:spacing w:line="240" w:lineRule="auto"/>
                    <w:rPr>
                      <w:lang w:eastAsia="pt-BR"/>
                    </w:rPr>
                  </w:pPr>
                  <w:r w:rsidRPr="00AC5AB2">
                    <w:rPr>
                      <w:lang w:eastAsia="pt-BR"/>
                    </w:rPr>
                    <w:t>Na Indústria (10,1%), o destaque foi o crescimento da Extrativa mineral (15,7%), seguida pela Construção civil (11,6%). A Indústria de transformação cresceu 9,7%, enquanto que a atividade de Eletricidade e gás, água, esgoto e limpeza urbana teve expansão de 7,8%.</w:t>
                  </w:r>
                </w:p>
                <w:p w:rsidR="00AC5AB2" w:rsidRPr="00AC5AB2" w:rsidRDefault="00AC5AB2" w:rsidP="002847F6">
                  <w:pPr>
                    <w:pStyle w:val="ABNT"/>
                    <w:spacing w:line="240" w:lineRule="auto"/>
                    <w:rPr>
                      <w:lang w:eastAsia="pt-BR"/>
                    </w:rPr>
                  </w:pPr>
                  <w:r w:rsidRPr="00AC5AB2">
                    <w:rPr>
                      <w:lang w:eastAsia="pt-BR"/>
                    </w:rPr>
                    <w:lastRenderedPageBreak/>
                    <w:t>Já nos Serviços (5,4%), os destaques foram as atividades de Intermediação financeira e seguros e o Comércio, ambas com crescimento de 10,7%. O crescimento da população empregada e da massa real de salários, ao lado da expansão do crédito ao consumo, sustentaram um crescimento das vendas. Por fim, Transporte, armazenagem e correio cresceu 8,9%, seguido por Serviços de informação (3,8%), Outros serviços (3,6%), Administração, saúde e educação pública (2,3%) e Serviços imobiliários e aluguel (1,7%).</w:t>
                  </w:r>
                </w:p>
                <w:p w:rsidR="00AC5AB2" w:rsidRPr="00AC5AB2" w:rsidRDefault="00AC5AB2" w:rsidP="002847F6">
                  <w:pPr>
                    <w:pStyle w:val="ABNT"/>
                    <w:spacing w:line="240" w:lineRule="auto"/>
                    <w:rPr>
                      <w:lang w:eastAsia="pt-BR"/>
                    </w:rPr>
                  </w:pPr>
                  <w:r w:rsidRPr="00AC5AB2">
                    <w:rPr>
                      <w:lang w:eastAsia="pt-BR"/>
                    </w:rPr>
                    <w:t>Na análise da demanda, a despesa de consumo das famílias cresceu 7,0% em 2010, sétimo ano consecutivo de aumento. A formação bruta de capital fixo cresceu 21,8%, maior taxa acumulada em quatro trimestres da série iniciada em 1996. Já a despesa do consumo da administração pública também aumentou 3,3%.</w:t>
                  </w:r>
                </w:p>
                <w:p w:rsidR="00AC5AB2" w:rsidRPr="00AC5AB2" w:rsidRDefault="00AC5AB2" w:rsidP="002847F6">
                  <w:pPr>
                    <w:pStyle w:val="ABNT"/>
                    <w:spacing w:line="240" w:lineRule="auto"/>
                    <w:rPr>
                      <w:lang w:eastAsia="pt-BR"/>
                    </w:rPr>
                  </w:pPr>
                  <w:r w:rsidRPr="00AC5AB2">
                    <w:rPr>
                      <w:lang w:eastAsia="pt-BR"/>
                    </w:rPr>
                    <w:t>No âmbito do setor externo, as exportações tiveram crescimento de 11,5%, e as importações se expandiram 36,2%. Contribui para este quadro a valorização cambial ocorrida entre 2009 e 2010. A taxa de câmbio (medida pela média anual das taxas de câmbio R$/US$ de compra e venda) variou de 2,00 para 1,76.</w:t>
                  </w:r>
                </w:p>
                <w:p w:rsidR="00AC5AB2" w:rsidRDefault="00AC5AB2" w:rsidP="004858F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pt-BR" w:eastAsia="pt-BR"/>
                    </w:rPr>
                    <w:drawing>
                      <wp:inline distT="0" distB="0" distL="0" distR="0">
                        <wp:extent cx="5181600" cy="3635285"/>
                        <wp:effectExtent l="0" t="0" r="0" b="3810"/>
                        <wp:docPr id="24" name="Picture 24" descr="http://www.ibge.gov.br/home/presidencia/noticias/images/1830_2950_190343_7592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5" descr="http://www.ibge.gov.br/home/presidencia/noticias/images/1830_2950_190343_7592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85349" cy="3637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5AB2" w:rsidRPr="00AC5AB2" w:rsidRDefault="00AC5AB2" w:rsidP="004858F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pt-BR" w:eastAsia="pt-BR"/>
                    </w:rPr>
                  </w:pPr>
                  <w:r w:rsidRPr="00AC5A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pt-BR" w:eastAsia="pt-BR"/>
                    </w:rPr>
                    <w:t>A taxa de investimento no ano de 2010 foi de 18,4% do PIB, superior à taxa referente ao ano anterior (16,9%). Já a taxa de poupança alcançou 16,5% do PIB contra 14,7% no ano anterior.</w:t>
                  </w:r>
                </w:p>
                <w:p w:rsidR="00AC5AB2" w:rsidRDefault="00AC5AB2" w:rsidP="004858F9">
                  <w:pPr>
                    <w:spacing w:before="100" w:beforeAutospacing="1" w:after="100" w:afterAutospacing="1" w:line="240" w:lineRule="auto"/>
                    <w:ind w:left="-22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pt-BR" w:eastAsia="pt-BR"/>
                    </w:rPr>
                    <w:lastRenderedPageBreak/>
                    <w:drawing>
                      <wp:inline distT="0" distB="0" distL="0" distR="0">
                        <wp:extent cx="4381500" cy="3049344"/>
                        <wp:effectExtent l="0" t="0" r="0" b="0"/>
                        <wp:docPr id="22" name="Picture 22" descr="http://www.ibge.gov.br/home/presidencia/noticias/images/1830_2950_190358_4795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4" descr="http://www.ibge.gov.br/home/presidencia/noticias/images/1830_2950_190358_4795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7604" cy="30535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5AB2" w:rsidRDefault="00AC5AB2" w:rsidP="004858F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pt-BR" w:eastAsia="pt-BR"/>
                    </w:rPr>
                  </w:pPr>
                </w:p>
              </w:tc>
              <w:tc>
                <w:tcPr>
                  <w:tcW w:w="20" w:type="dxa"/>
                  <w:hideMark/>
                </w:tcPr>
                <w:p w:rsidR="00AC5AB2" w:rsidRDefault="00AC5AB2">
                  <w:pPr>
                    <w:spacing w:line="276" w:lineRule="auto"/>
                    <w:rPr>
                      <w:lang w:val="pt-BR"/>
                    </w:rPr>
                  </w:pPr>
                </w:p>
              </w:tc>
            </w:tr>
          </w:tbl>
          <w:p w:rsidR="00AC5AB2" w:rsidRDefault="00AC5AB2">
            <w:pPr>
              <w:spacing w:line="276" w:lineRule="auto"/>
              <w:rPr>
                <w:lang w:val="pt-BR"/>
              </w:rPr>
            </w:pPr>
          </w:p>
        </w:tc>
        <w:tc>
          <w:tcPr>
            <w:tcW w:w="6" w:type="dxa"/>
            <w:hideMark/>
          </w:tcPr>
          <w:p w:rsidR="00AC5AB2" w:rsidRDefault="00AC5AB2">
            <w:pPr>
              <w:spacing w:line="276" w:lineRule="auto"/>
              <w:rPr>
                <w:lang w:val="pt-BR"/>
              </w:rPr>
            </w:pPr>
          </w:p>
        </w:tc>
      </w:tr>
    </w:tbl>
    <w:p w:rsidR="00AC5AB2" w:rsidRDefault="00AC5AB2" w:rsidP="00AC5AB2">
      <w:pPr>
        <w:pStyle w:val="SemEspaamento"/>
        <w:rPr>
          <w:highlight w:val="blue"/>
        </w:rPr>
      </w:pPr>
    </w:p>
    <w:sectPr w:rsidR="00AC5AB2" w:rsidSect="00FE7915">
      <w:type w:val="continuous"/>
      <w:pgSz w:w="12240" w:h="15840"/>
      <w:pgMar w:top="1701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5596" w:rsidRDefault="00555596" w:rsidP="008E0A0D">
      <w:pPr>
        <w:spacing w:line="240" w:lineRule="auto"/>
      </w:pPr>
      <w:r>
        <w:separator/>
      </w:r>
    </w:p>
  </w:endnote>
  <w:endnote w:type="continuationSeparator" w:id="1">
    <w:p w:rsidR="00555596" w:rsidRDefault="00555596" w:rsidP="008E0A0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undrySterling">
    <w:altName w:val="FoundrySterling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5596" w:rsidRDefault="00555596" w:rsidP="008E0A0D">
      <w:pPr>
        <w:spacing w:line="240" w:lineRule="auto"/>
      </w:pPr>
      <w:r>
        <w:separator/>
      </w:r>
    </w:p>
  </w:footnote>
  <w:footnote w:type="continuationSeparator" w:id="1">
    <w:p w:rsidR="00555596" w:rsidRDefault="00555596" w:rsidP="008E0A0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0704701"/>
      <w:docPartObj>
        <w:docPartGallery w:val="Page Numbers (Top of Page)"/>
        <w:docPartUnique/>
      </w:docPartObj>
    </w:sdtPr>
    <w:sdtEndPr>
      <w:rPr>
        <w:noProof/>
      </w:rPr>
    </w:sdtEndPr>
    <w:sdtContent>
      <w:p w:rsidR="00555596" w:rsidRDefault="00DF3EC3">
        <w:pPr>
          <w:pStyle w:val="Cabealho"/>
          <w:jc w:val="right"/>
        </w:pPr>
        <w:fldSimple w:instr=" PAGE   \* MERGEFORMAT ">
          <w:r w:rsidR="0028448D">
            <w:rPr>
              <w:noProof/>
            </w:rPr>
            <w:t>10</w:t>
          </w:r>
        </w:fldSimple>
      </w:p>
    </w:sdtContent>
  </w:sdt>
  <w:p w:rsidR="00555596" w:rsidRDefault="00555596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56D5F"/>
    <w:multiLevelType w:val="hybridMultilevel"/>
    <w:tmpl w:val="27AE9FC8"/>
    <w:lvl w:ilvl="0" w:tplc="8B4EA3C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6D168F"/>
    <w:multiLevelType w:val="multilevel"/>
    <w:tmpl w:val="2B2A4E1E"/>
    <w:lvl w:ilvl="0">
      <w:start w:val="2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  <w:b/>
      </w:rPr>
    </w:lvl>
  </w:abstractNum>
  <w:abstractNum w:abstractNumId="2">
    <w:nsid w:val="070C15C9"/>
    <w:multiLevelType w:val="hybridMultilevel"/>
    <w:tmpl w:val="081A35D4"/>
    <w:lvl w:ilvl="0" w:tplc="1772E1D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802645"/>
    <w:multiLevelType w:val="hybridMultilevel"/>
    <w:tmpl w:val="CBEA56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361637"/>
    <w:multiLevelType w:val="hybridMultilevel"/>
    <w:tmpl w:val="DCA06E1C"/>
    <w:lvl w:ilvl="0" w:tplc="B1CA37E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8E13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72D68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B607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C69D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D8B19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9CA2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B860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FCAF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515BB9"/>
    <w:multiLevelType w:val="hybridMultilevel"/>
    <w:tmpl w:val="75E436E4"/>
    <w:lvl w:ilvl="0" w:tplc="040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6">
    <w:nsid w:val="17F5507E"/>
    <w:multiLevelType w:val="hybridMultilevel"/>
    <w:tmpl w:val="4EC8D28A"/>
    <w:lvl w:ilvl="0" w:tplc="65A04BFA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AF132F5"/>
    <w:multiLevelType w:val="hybridMultilevel"/>
    <w:tmpl w:val="185E1624"/>
    <w:lvl w:ilvl="0" w:tplc="040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8">
    <w:nsid w:val="1B720C3D"/>
    <w:multiLevelType w:val="hybridMultilevel"/>
    <w:tmpl w:val="FB3264D2"/>
    <w:lvl w:ilvl="0" w:tplc="0402233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37173E"/>
    <w:multiLevelType w:val="hybridMultilevel"/>
    <w:tmpl w:val="188CF6C6"/>
    <w:lvl w:ilvl="0" w:tplc="E05E0B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036548"/>
    <w:multiLevelType w:val="multilevel"/>
    <w:tmpl w:val="2B2A4E1E"/>
    <w:lvl w:ilvl="0">
      <w:start w:val="2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  <w:b/>
      </w:rPr>
    </w:lvl>
  </w:abstractNum>
  <w:abstractNum w:abstractNumId="11">
    <w:nsid w:val="334C2D44"/>
    <w:multiLevelType w:val="hybridMultilevel"/>
    <w:tmpl w:val="7F36C05C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2">
    <w:nsid w:val="36CB59D2"/>
    <w:multiLevelType w:val="hybridMultilevel"/>
    <w:tmpl w:val="25C6A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582FD5"/>
    <w:multiLevelType w:val="multilevel"/>
    <w:tmpl w:val="48FA019C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1CA27DE"/>
    <w:multiLevelType w:val="multilevel"/>
    <w:tmpl w:val="2B2A4E1E"/>
    <w:lvl w:ilvl="0">
      <w:start w:val="2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  <w:b/>
      </w:rPr>
    </w:lvl>
  </w:abstractNum>
  <w:abstractNum w:abstractNumId="15">
    <w:nsid w:val="44B16C2E"/>
    <w:multiLevelType w:val="hybridMultilevel"/>
    <w:tmpl w:val="C4EE6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6446BE"/>
    <w:multiLevelType w:val="multilevel"/>
    <w:tmpl w:val="2B2A4E1E"/>
    <w:lvl w:ilvl="0">
      <w:start w:val="2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  <w:b/>
      </w:rPr>
    </w:lvl>
  </w:abstractNum>
  <w:abstractNum w:abstractNumId="17">
    <w:nsid w:val="4DB42730"/>
    <w:multiLevelType w:val="hybridMultilevel"/>
    <w:tmpl w:val="48FA019C"/>
    <w:lvl w:ilvl="0" w:tplc="B4CED9E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E5D29B6"/>
    <w:multiLevelType w:val="hybridMultilevel"/>
    <w:tmpl w:val="E12E5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F16DD9"/>
    <w:multiLevelType w:val="hybridMultilevel"/>
    <w:tmpl w:val="BFA22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7842B2"/>
    <w:multiLevelType w:val="multilevel"/>
    <w:tmpl w:val="48FA019C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6"/>
  </w:num>
  <w:num w:numId="4">
    <w:abstractNumId w:val="7"/>
  </w:num>
  <w:num w:numId="5">
    <w:abstractNumId w:val="5"/>
  </w:num>
  <w:num w:numId="6">
    <w:abstractNumId w:val="15"/>
  </w:num>
  <w:num w:numId="7">
    <w:abstractNumId w:val="9"/>
  </w:num>
  <w:num w:numId="8">
    <w:abstractNumId w:val="12"/>
  </w:num>
  <w:num w:numId="9">
    <w:abstractNumId w:val="14"/>
  </w:num>
  <w:num w:numId="10">
    <w:abstractNumId w:val="1"/>
  </w:num>
  <w:num w:numId="11">
    <w:abstractNumId w:val="17"/>
  </w:num>
  <w:num w:numId="12">
    <w:abstractNumId w:val="13"/>
  </w:num>
  <w:num w:numId="13">
    <w:abstractNumId w:val="18"/>
  </w:num>
  <w:num w:numId="14">
    <w:abstractNumId w:val="4"/>
  </w:num>
  <w:num w:numId="15">
    <w:abstractNumId w:val="8"/>
  </w:num>
  <w:num w:numId="16">
    <w:abstractNumId w:val="20"/>
  </w:num>
  <w:num w:numId="17">
    <w:abstractNumId w:val="10"/>
  </w:num>
  <w:num w:numId="18">
    <w:abstractNumId w:val="6"/>
  </w:num>
  <w:num w:numId="19">
    <w:abstractNumId w:val="11"/>
  </w:num>
  <w:num w:numId="20">
    <w:abstractNumId w:val="3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activeWritingStyle w:appName="MSWord" w:lang="en-US" w:vendorID="64" w:dllVersion="131078" w:nlCheck="1" w:checkStyle="1"/>
  <w:activeWritingStyle w:appName="MSWord" w:lang="en-ZW" w:vendorID="64" w:dllVersion="131078" w:nlCheck="1" w:checkStyle="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04B4"/>
    <w:rsid w:val="0002074D"/>
    <w:rsid w:val="00023F38"/>
    <w:rsid w:val="00060BEB"/>
    <w:rsid w:val="00073D29"/>
    <w:rsid w:val="000775E8"/>
    <w:rsid w:val="000C4752"/>
    <w:rsid w:val="000D5A87"/>
    <w:rsid w:val="00110D2A"/>
    <w:rsid w:val="00111A87"/>
    <w:rsid w:val="0011312B"/>
    <w:rsid w:val="00114A80"/>
    <w:rsid w:val="00130AAF"/>
    <w:rsid w:val="00145BCB"/>
    <w:rsid w:val="00147F65"/>
    <w:rsid w:val="00151FBC"/>
    <w:rsid w:val="0015276B"/>
    <w:rsid w:val="00161D99"/>
    <w:rsid w:val="00175048"/>
    <w:rsid w:val="00181090"/>
    <w:rsid w:val="001859EF"/>
    <w:rsid w:val="00186CA7"/>
    <w:rsid w:val="001B12A5"/>
    <w:rsid w:val="001E1C10"/>
    <w:rsid w:val="001E4E18"/>
    <w:rsid w:val="0022754F"/>
    <w:rsid w:val="00231547"/>
    <w:rsid w:val="00241AFC"/>
    <w:rsid w:val="00255802"/>
    <w:rsid w:val="00283DBE"/>
    <w:rsid w:val="0028448D"/>
    <w:rsid w:val="002847F6"/>
    <w:rsid w:val="0029216C"/>
    <w:rsid w:val="002B1309"/>
    <w:rsid w:val="002B13F6"/>
    <w:rsid w:val="002D5666"/>
    <w:rsid w:val="002E0D8F"/>
    <w:rsid w:val="002F7E22"/>
    <w:rsid w:val="00311E26"/>
    <w:rsid w:val="0033102C"/>
    <w:rsid w:val="003542AF"/>
    <w:rsid w:val="00375840"/>
    <w:rsid w:val="003768A8"/>
    <w:rsid w:val="003B6F92"/>
    <w:rsid w:val="003C55DE"/>
    <w:rsid w:val="003F339D"/>
    <w:rsid w:val="0040454F"/>
    <w:rsid w:val="004318A9"/>
    <w:rsid w:val="004619E8"/>
    <w:rsid w:val="004858F9"/>
    <w:rsid w:val="004B3F1B"/>
    <w:rsid w:val="004C0D92"/>
    <w:rsid w:val="004C4A14"/>
    <w:rsid w:val="004F0061"/>
    <w:rsid w:val="004F4D03"/>
    <w:rsid w:val="005064C2"/>
    <w:rsid w:val="00517EE4"/>
    <w:rsid w:val="00524A68"/>
    <w:rsid w:val="0053454E"/>
    <w:rsid w:val="005407EA"/>
    <w:rsid w:val="00546069"/>
    <w:rsid w:val="005529B0"/>
    <w:rsid w:val="005545E3"/>
    <w:rsid w:val="00555596"/>
    <w:rsid w:val="00564FE8"/>
    <w:rsid w:val="005753B0"/>
    <w:rsid w:val="00586F36"/>
    <w:rsid w:val="005A647D"/>
    <w:rsid w:val="005B4126"/>
    <w:rsid w:val="005B46B4"/>
    <w:rsid w:val="005D0E38"/>
    <w:rsid w:val="005E5AF8"/>
    <w:rsid w:val="005F6D85"/>
    <w:rsid w:val="0061282A"/>
    <w:rsid w:val="00616DB1"/>
    <w:rsid w:val="00632310"/>
    <w:rsid w:val="00647F39"/>
    <w:rsid w:val="00654592"/>
    <w:rsid w:val="00656F5E"/>
    <w:rsid w:val="00675747"/>
    <w:rsid w:val="006E6D72"/>
    <w:rsid w:val="00701A15"/>
    <w:rsid w:val="0070459D"/>
    <w:rsid w:val="007101B9"/>
    <w:rsid w:val="00734BEB"/>
    <w:rsid w:val="0074496A"/>
    <w:rsid w:val="007718FA"/>
    <w:rsid w:val="00795AE9"/>
    <w:rsid w:val="00797C51"/>
    <w:rsid w:val="007C3C4E"/>
    <w:rsid w:val="007D0203"/>
    <w:rsid w:val="007E4A1A"/>
    <w:rsid w:val="00807DA1"/>
    <w:rsid w:val="008107A3"/>
    <w:rsid w:val="00826E9E"/>
    <w:rsid w:val="00847E26"/>
    <w:rsid w:val="00855E81"/>
    <w:rsid w:val="00887EBA"/>
    <w:rsid w:val="008B5C55"/>
    <w:rsid w:val="008C04EB"/>
    <w:rsid w:val="008C7010"/>
    <w:rsid w:val="008D6BF4"/>
    <w:rsid w:val="008E0A0D"/>
    <w:rsid w:val="00906517"/>
    <w:rsid w:val="00920E74"/>
    <w:rsid w:val="0098434D"/>
    <w:rsid w:val="00993273"/>
    <w:rsid w:val="009A0797"/>
    <w:rsid w:val="009A118D"/>
    <w:rsid w:val="009A7107"/>
    <w:rsid w:val="009E4A87"/>
    <w:rsid w:val="00A025C6"/>
    <w:rsid w:val="00A24D08"/>
    <w:rsid w:val="00A304B4"/>
    <w:rsid w:val="00A40422"/>
    <w:rsid w:val="00A54227"/>
    <w:rsid w:val="00A547C0"/>
    <w:rsid w:val="00A57F3F"/>
    <w:rsid w:val="00A67AA8"/>
    <w:rsid w:val="00A67E2D"/>
    <w:rsid w:val="00A86AA9"/>
    <w:rsid w:val="00AC3CCB"/>
    <w:rsid w:val="00AC5AB2"/>
    <w:rsid w:val="00AD3EB7"/>
    <w:rsid w:val="00B105AE"/>
    <w:rsid w:val="00B12A3E"/>
    <w:rsid w:val="00B37F7E"/>
    <w:rsid w:val="00B62EC1"/>
    <w:rsid w:val="00B707B6"/>
    <w:rsid w:val="00B95B2D"/>
    <w:rsid w:val="00B97CA8"/>
    <w:rsid w:val="00BB28A1"/>
    <w:rsid w:val="00BD6206"/>
    <w:rsid w:val="00BE6DB2"/>
    <w:rsid w:val="00BF4AF3"/>
    <w:rsid w:val="00BF6AE7"/>
    <w:rsid w:val="00C05FD0"/>
    <w:rsid w:val="00C2091E"/>
    <w:rsid w:val="00C22945"/>
    <w:rsid w:val="00C4138B"/>
    <w:rsid w:val="00C56EA8"/>
    <w:rsid w:val="00C706D9"/>
    <w:rsid w:val="00C95266"/>
    <w:rsid w:val="00CA60BF"/>
    <w:rsid w:val="00CB79F5"/>
    <w:rsid w:val="00CF4DE9"/>
    <w:rsid w:val="00D020E2"/>
    <w:rsid w:val="00D10AEF"/>
    <w:rsid w:val="00D15C95"/>
    <w:rsid w:val="00D20244"/>
    <w:rsid w:val="00D22C4A"/>
    <w:rsid w:val="00D257B8"/>
    <w:rsid w:val="00D33193"/>
    <w:rsid w:val="00D36F23"/>
    <w:rsid w:val="00D37C98"/>
    <w:rsid w:val="00D53263"/>
    <w:rsid w:val="00D72029"/>
    <w:rsid w:val="00D836F7"/>
    <w:rsid w:val="00DA10D6"/>
    <w:rsid w:val="00DA30F2"/>
    <w:rsid w:val="00DB47B2"/>
    <w:rsid w:val="00DC6C89"/>
    <w:rsid w:val="00DD52F4"/>
    <w:rsid w:val="00DD677F"/>
    <w:rsid w:val="00DE37F2"/>
    <w:rsid w:val="00DF24A1"/>
    <w:rsid w:val="00DF3EC3"/>
    <w:rsid w:val="00E00D5E"/>
    <w:rsid w:val="00E2773A"/>
    <w:rsid w:val="00E454E7"/>
    <w:rsid w:val="00E507E9"/>
    <w:rsid w:val="00E64C75"/>
    <w:rsid w:val="00E74606"/>
    <w:rsid w:val="00E821CF"/>
    <w:rsid w:val="00E82B74"/>
    <w:rsid w:val="00E920CF"/>
    <w:rsid w:val="00EA1B45"/>
    <w:rsid w:val="00EA2A8B"/>
    <w:rsid w:val="00EF106A"/>
    <w:rsid w:val="00F23617"/>
    <w:rsid w:val="00F5791D"/>
    <w:rsid w:val="00F721C0"/>
    <w:rsid w:val="00F815B6"/>
    <w:rsid w:val="00F92C0A"/>
    <w:rsid w:val="00F9605C"/>
    <w:rsid w:val="00FC59B1"/>
    <w:rsid w:val="00FD0B17"/>
    <w:rsid w:val="00FE51C0"/>
    <w:rsid w:val="00FE7915"/>
    <w:rsid w:val="00FF7D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4B4"/>
    <w:pPr>
      <w:spacing w:after="0" w:line="360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304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BNT">
    <w:name w:val="ABNT"/>
    <w:basedOn w:val="Normal"/>
    <w:qFormat/>
    <w:rsid w:val="00A304B4"/>
    <w:pPr>
      <w:ind w:firstLine="576"/>
      <w:jc w:val="both"/>
    </w:pPr>
    <w:rPr>
      <w:rFonts w:ascii="Times New Roman" w:hAnsi="Times New Roman" w:cs="Times New Roman"/>
      <w:color w:val="000000" w:themeColor="text1"/>
      <w:sz w:val="24"/>
      <w:szCs w:val="24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A304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ABNT">
    <w:name w:val="Headline ABNT"/>
    <w:basedOn w:val="Ttulo1"/>
    <w:qFormat/>
    <w:rsid w:val="00A304B4"/>
    <w:pPr>
      <w:spacing w:before="0" w:line="240" w:lineRule="auto"/>
    </w:pPr>
    <w:rPr>
      <w:rFonts w:ascii="Times New Roman" w:hAnsi="Times New Roman"/>
      <w:color w:val="auto"/>
      <w:sz w:val="24"/>
    </w:rPr>
  </w:style>
  <w:style w:type="character" w:styleId="Forte">
    <w:name w:val="Strong"/>
    <w:basedOn w:val="Fontepargpadro"/>
    <w:uiPriority w:val="22"/>
    <w:qFormat/>
    <w:rsid w:val="00A304B4"/>
    <w:rPr>
      <w:b/>
      <w:bCs/>
    </w:rPr>
  </w:style>
  <w:style w:type="paragraph" w:styleId="SemEspaamento">
    <w:name w:val="No Spacing"/>
    <w:uiPriority w:val="1"/>
    <w:qFormat/>
    <w:rsid w:val="00A304B4"/>
    <w:pPr>
      <w:spacing w:after="0" w:line="240" w:lineRule="auto"/>
    </w:pPr>
    <w:rPr>
      <w:rFonts w:eastAsiaTheme="minorEastAsi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304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04B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304B4"/>
    <w:pPr>
      <w:ind w:left="720"/>
      <w:contextualSpacing/>
    </w:pPr>
  </w:style>
  <w:style w:type="paragraph" w:customStyle="1" w:styleId="ABNTRules">
    <w:name w:val="ABNT Rules"/>
    <w:basedOn w:val="SemEspaamento"/>
    <w:next w:val="SemEspaamento"/>
    <w:qFormat/>
    <w:rsid w:val="00B95B2D"/>
    <w:pPr>
      <w:spacing w:line="360" w:lineRule="auto"/>
      <w:ind w:firstLine="850"/>
      <w:jc w:val="both"/>
    </w:pPr>
    <w:rPr>
      <w:rFonts w:ascii="Times New Roman" w:eastAsiaTheme="minorHAnsi" w:hAnsi="Times New Roman"/>
      <w:sz w:val="24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008E0A0D"/>
    <w:pPr>
      <w:tabs>
        <w:tab w:val="center" w:pos="4680"/>
        <w:tab w:val="right" w:pos="9360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0A0D"/>
  </w:style>
  <w:style w:type="paragraph" w:styleId="Rodap">
    <w:name w:val="footer"/>
    <w:basedOn w:val="Normal"/>
    <w:link w:val="RodapChar"/>
    <w:uiPriority w:val="99"/>
    <w:unhideWhenUsed/>
    <w:rsid w:val="008E0A0D"/>
    <w:pPr>
      <w:tabs>
        <w:tab w:val="center" w:pos="4680"/>
        <w:tab w:val="right" w:pos="9360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0A0D"/>
  </w:style>
  <w:style w:type="paragraph" w:styleId="CabealhodoSumrio">
    <w:name w:val="TOC Heading"/>
    <w:basedOn w:val="Ttulo1"/>
    <w:next w:val="Normal"/>
    <w:uiPriority w:val="39"/>
    <w:unhideWhenUsed/>
    <w:qFormat/>
    <w:rsid w:val="008E0A0D"/>
    <w:pPr>
      <w:spacing w:line="276" w:lineRule="auto"/>
      <w:outlineLvl w:val="9"/>
    </w:pPr>
    <w:rPr>
      <w:lang w:eastAsia="ja-JP"/>
    </w:rPr>
  </w:style>
  <w:style w:type="paragraph" w:styleId="Sumrio1">
    <w:name w:val="toc 1"/>
    <w:basedOn w:val="Normal"/>
    <w:next w:val="Normal"/>
    <w:autoRedefine/>
    <w:uiPriority w:val="39"/>
    <w:unhideWhenUsed/>
    <w:rsid w:val="008E0A0D"/>
    <w:pPr>
      <w:spacing w:after="100"/>
    </w:pPr>
  </w:style>
  <w:style w:type="character" w:styleId="Hyperlink">
    <w:name w:val="Hyperlink"/>
    <w:basedOn w:val="Fontepargpadro"/>
    <w:uiPriority w:val="99"/>
    <w:unhideWhenUsed/>
    <w:rsid w:val="008E0A0D"/>
    <w:rPr>
      <w:color w:val="0000FF" w:themeColor="hyperlink"/>
      <w:u w:val="single"/>
    </w:rPr>
  </w:style>
  <w:style w:type="paragraph" w:customStyle="1" w:styleId="Pa3">
    <w:name w:val="Pa3"/>
    <w:basedOn w:val="Normal"/>
    <w:next w:val="Normal"/>
    <w:rsid w:val="00616DB1"/>
    <w:pPr>
      <w:autoSpaceDE w:val="0"/>
      <w:autoSpaceDN w:val="0"/>
      <w:adjustRightInd w:val="0"/>
      <w:spacing w:line="241" w:lineRule="atLeast"/>
    </w:pPr>
    <w:rPr>
      <w:rFonts w:ascii="FoundrySterling" w:eastAsia="Times New Roman" w:hAnsi="FoundrySterling" w:cs="Times New Roman"/>
      <w:sz w:val="24"/>
      <w:szCs w:val="24"/>
      <w:lang w:val="pt-BR" w:eastAsia="pt-BR"/>
    </w:rPr>
  </w:style>
  <w:style w:type="paragraph" w:styleId="NormalWeb">
    <w:name w:val="Normal (Web)"/>
    <w:basedOn w:val="Normal"/>
    <w:rsid w:val="00616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Pa8">
    <w:name w:val="Pa8"/>
    <w:basedOn w:val="Normal"/>
    <w:next w:val="Normal"/>
    <w:rsid w:val="00616DB1"/>
    <w:pPr>
      <w:autoSpaceDE w:val="0"/>
      <w:autoSpaceDN w:val="0"/>
      <w:adjustRightInd w:val="0"/>
      <w:spacing w:line="241" w:lineRule="atLeast"/>
    </w:pPr>
    <w:rPr>
      <w:rFonts w:ascii="FoundrySterling" w:eastAsia="Times New Roman" w:hAnsi="FoundrySterling" w:cs="Times New Roman"/>
      <w:sz w:val="24"/>
      <w:szCs w:val="24"/>
      <w:lang w:val="pt-BR" w:eastAsia="pt-BR"/>
    </w:rPr>
  </w:style>
  <w:style w:type="paragraph" w:customStyle="1" w:styleId="Pa5">
    <w:name w:val="Pa5"/>
    <w:basedOn w:val="Normal"/>
    <w:next w:val="Normal"/>
    <w:rsid w:val="00616DB1"/>
    <w:pPr>
      <w:autoSpaceDE w:val="0"/>
      <w:autoSpaceDN w:val="0"/>
      <w:adjustRightInd w:val="0"/>
      <w:spacing w:line="241" w:lineRule="atLeast"/>
    </w:pPr>
    <w:rPr>
      <w:rFonts w:ascii="FoundrySterling" w:eastAsia="Times New Roman" w:hAnsi="FoundrySterling" w:cs="Times New Roman"/>
      <w:sz w:val="24"/>
      <w:szCs w:val="24"/>
      <w:lang w:val="pt-BR" w:eastAsia="pt-BR"/>
    </w:rPr>
  </w:style>
  <w:style w:type="character" w:customStyle="1" w:styleId="apple-converted-space">
    <w:name w:val="apple-converted-space"/>
    <w:basedOn w:val="Fontepargpadro"/>
    <w:rsid w:val="00C209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4B4"/>
    <w:pPr>
      <w:spacing w:after="0" w:line="360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304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BNT">
    <w:name w:val="ABNT"/>
    <w:basedOn w:val="Normal"/>
    <w:qFormat/>
    <w:rsid w:val="00A304B4"/>
    <w:pPr>
      <w:ind w:firstLine="576"/>
      <w:jc w:val="both"/>
    </w:pPr>
    <w:rPr>
      <w:rFonts w:ascii="Times New Roman" w:hAnsi="Times New Roman" w:cs="Times New Roman"/>
      <w:color w:val="000000" w:themeColor="text1"/>
      <w:sz w:val="24"/>
      <w:szCs w:val="24"/>
      <w:lang w:val="pt-BR"/>
    </w:rPr>
  </w:style>
  <w:style w:type="character" w:customStyle="1" w:styleId="Ttulo1Char">
    <w:name w:val="Heading 1 Char"/>
    <w:basedOn w:val="Fontepargpadro"/>
    <w:link w:val="Ttulo1"/>
    <w:uiPriority w:val="9"/>
    <w:rsid w:val="00A304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ABNT">
    <w:name w:val="Headline ABNT"/>
    <w:basedOn w:val="Ttulo1"/>
    <w:qFormat/>
    <w:rsid w:val="00A304B4"/>
    <w:pPr>
      <w:spacing w:before="0" w:line="240" w:lineRule="auto"/>
    </w:pPr>
    <w:rPr>
      <w:rFonts w:ascii="Times New Roman" w:hAnsi="Times New Roman"/>
      <w:color w:val="auto"/>
      <w:sz w:val="24"/>
    </w:rPr>
  </w:style>
  <w:style w:type="character" w:styleId="Forte">
    <w:name w:val="Strong"/>
    <w:basedOn w:val="Fontepargpadro"/>
    <w:uiPriority w:val="22"/>
    <w:qFormat/>
    <w:rsid w:val="00A304B4"/>
    <w:rPr>
      <w:b/>
      <w:bCs/>
    </w:rPr>
  </w:style>
  <w:style w:type="paragraph" w:styleId="SemEspaamento">
    <w:name w:val="No Spacing"/>
    <w:uiPriority w:val="1"/>
    <w:qFormat/>
    <w:rsid w:val="00A304B4"/>
    <w:pPr>
      <w:spacing w:after="0" w:line="240" w:lineRule="auto"/>
    </w:pPr>
    <w:rPr>
      <w:rFonts w:eastAsiaTheme="minorEastAsi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304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Balloon Text Char"/>
    <w:basedOn w:val="Fontepargpadro"/>
    <w:link w:val="Textodebalo"/>
    <w:uiPriority w:val="99"/>
    <w:semiHidden/>
    <w:rsid w:val="00A304B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304B4"/>
    <w:pPr>
      <w:ind w:left="720"/>
      <w:contextualSpacing/>
    </w:pPr>
  </w:style>
  <w:style w:type="paragraph" w:customStyle="1" w:styleId="ABNTRules">
    <w:name w:val="ABNT Rules"/>
    <w:basedOn w:val="SemEspaamento"/>
    <w:next w:val="SemEspaamento"/>
    <w:qFormat/>
    <w:rsid w:val="00B95B2D"/>
    <w:pPr>
      <w:spacing w:line="360" w:lineRule="auto"/>
      <w:ind w:firstLine="850"/>
      <w:jc w:val="both"/>
    </w:pPr>
    <w:rPr>
      <w:rFonts w:ascii="Times New Roman" w:eastAsiaTheme="minorHAnsi" w:hAnsi="Times New Roman"/>
      <w:sz w:val="24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008E0A0D"/>
    <w:pPr>
      <w:tabs>
        <w:tab w:val="center" w:pos="4680"/>
        <w:tab w:val="right" w:pos="9360"/>
      </w:tabs>
      <w:spacing w:line="240" w:lineRule="auto"/>
    </w:pPr>
  </w:style>
  <w:style w:type="character" w:customStyle="1" w:styleId="CabealhoChar">
    <w:name w:val="Header Char"/>
    <w:basedOn w:val="Fontepargpadro"/>
    <w:link w:val="Cabealho"/>
    <w:uiPriority w:val="99"/>
    <w:rsid w:val="008E0A0D"/>
  </w:style>
  <w:style w:type="paragraph" w:styleId="Rodap">
    <w:name w:val="footer"/>
    <w:basedOn w:val="Normal"/>
    <w:link w:val="RodapChar"/>
    <w:uiPriority w:val="99"/>
    <w:unhideWhenUsed/>
    <w:rsid w:val="008E0A0D"/>
    <w:pPr>
      <w:tabs>
        <w:tab w:val="center" w:pos="4680"/>
        <w:tab w:val="right" w:pos="9360"/>
      </w:tabs>
      <w:spacing w:line="240" w:lineRule="auto"/>
    </w:pPr>
  </w:style>
  <w:style w:type="character" w:customStyle="1" w:styleId="RodapChar">
    <w:name w:val="Footer Char"/>
    <w:basedOn w:val="Fontepargpadro"/>
    <w:link w:val="Rodap"/>
    <w:uiPriority w:val="99"/>
    <w:rsid w:val="008E0A0D"/>
  </w:style>
  <w:style w:type="paragraph" w:styleId="CabealhodoSumrio">
    <w:name w:val="TOC Heading"/>
    <w:basedOn w:val="Ttulo1"/>
    <w:next w:val="Normal"/>
    <w:uiPriority w:val="39"/>
    <w:unhideWhenUsed/>
    <w:qFormat/>
    <w:rsid w:val="008E0A0D"/>
    <w:pPr>
      <w:spacing w:line="276" w:lineRule="auto"/>
      <w:outlineLvl w:val="9"/>
    </w:pPr>
    <w:rPr>
      <w:lang w:eastAsia="ja-JP"/>
    </w:rPr>
  </w:style>
  <w:style w:type="paragraph" w:styleId="Sumrio1">
    <w:name w:val="toc 1"/>
    <w:basedOn w:val="Normal"/>
    <w:next w:val="Normal"/>
    <w:autoRedefine/>
    <w:uiPriority w:val="39"/>
    <w:unhideWhenUsed/>
    <w:rsid w:val="008E0A0D"/>
    <w:pPr>
      <w:spacing w:after="100"/>
    </w:pPr>
  </w:style>
  <w:style w:type="character" w:styleId="Hyperlink">
    <w:name w:val="Hyperlink"/>
    <w:basedOn w:val="Fontepargpadro"/>
    <w:uiPriority w:val="99"/>
    <w:unhideWhenUsed/>
    <w:rsid w:val="008E0A0D"/>
    <w:rPr>
      <w:color w:val="0000FF" w:themeColor="hyperlink"/>
      <w:u w:val="single"/>
    </w:rPr>
  </w:style>
  <w:style w:type="paragraph" w:customStyle="1" w:styleId="Pa3">
    <w:name w:val="Pa3"/>
    <w:basedOn w:val="Normal"/>
    <w:next w:val="Normal"/>
    <w:rsid w:val="00616DB1"/>
    <w:pPr>
      <w:autoSpaceDE w:val="0"/>
      <w:autoSpaceDN w:val="0"/>
      <w:adjustRightInd w:val="0"/>
      <w:spacing w:line="241" w:lineRule="atLeast"/>
    </w:pPr>
    <w:rPr>
      <w:rFonts w:ascii="FoundrySterling" w:eastAsia="Times New Roman" w:hAnsi="FoundrySterling" w:cs="Times New Roman"/>
      <w:sz w:val="24"/>
      <w:szCs w:val="24"/>
      <w:lang w:val="pt-BR" w:eastAsia="pt-BR"/>
    </w:rPr>
  </w:style>
  <w:style w:type="paragraph" w:styleId="NormalWeb">
    <w:name w:val="Normal (Web)"/>
    <w:basedOn w:val="Normal"/>
    <w:rsid w:val="00616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Pa8">
    <w:name w:val="Pa8"/>
    <w:basedOn w:val="Normal"/>
    <w:next w:val="Normal"/>
    <w:rsid w:val="00616DB1"/>
    <w:pPr>
      <w:autoSpaceDE w:val="0"/>
      <w:autoSpaceDN w:val="0"/>
      <w:adjustRightInd w:val="0"/>
      <w:spacing w:line="241" w:lineRule="atLeast"/>
    </w:pPr>
    <w:rPr>
      <w:rFonts w:ascii="FoundrySterling" w:eastAsia="Times New Roman" w:hAnsi="FoundrySterling" w:cs="Times New Roman"/>
      <w:sz w:val="24"/>
      <w:szCs w:val="24"/>
      <w:lang w:val="pt-BR" w:eastAsia="pt-BR"/>
    </w:rPr>
  </w:style>
  <w:style w:type="paragraph" w:customStyle="1" w:styleId="Pa5">
    <w:name w:val="Pa5"/>
    <w:basedOn w:val="Normal"/>
    <w:next w:val="Normal"/>
    <w:rsid w:val="00616DB1"/>
    <w:pPr>
      <w:autoSpaceDE w:val="0"/>
      <w:autoSpaceDN w:val="0"/>
      <w:adjustRightInd w:val="0"/>
      <w:spacing w:line="241" w:lineRule="atLeast"/>
    </w:pPr>
    <w:rPr>
      <w:rFonts w:ascii="FoundrySterling" w:eastAsia="Times New Roman" w:hAnsi="FoundrySterling" w:cs="Times New Roman"/>
      <w:sz w:val="24"/>
      <w:szCs w:val="24"/>
      <w:lang w:val="pt-BR" w:eastAsia="pt-BR"/>
    </w:rPr>
  </w:style>
  <w:style w:type="character" w:customStyle="1" w:styleId="apple-converted-space">
    <w:name w:val="apple-converted-space"/>
    <w:basedOn w:val="Fontepargpadro"/>
    <w:rsid w:val="00C209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ortaltributario.com.br/guia/ded_tecnologica.html" TargetMode="External"/><Relationship Id="rId18" Type="http://schemas.openxmlformats.org/officeDocument/2006/relationships/hyperlink" Target="http://www.stn.fazenda.gov.br/legislacao/download/contabilidade/ParteI_PCO.pdf" TargetMode="External"/><Relationship Id="rId26" Type="http://schemas.openxmlformats.org/officeDocument/2006/relationships/image" Target="media/image5.emf"/><Relationship Id="rId39" Type="http://schemas.openxmlformats.org/officeDocument/2006/relationships/image" Target="media/image18.png"/><Relationship Id="rId21" Type="http://schemas.openxmlformats.org/officeDocument/2006/relationships/hyperlink" Target="http://www.previg.org.br/MyFiles/relatorioanual/relatorio-anual-2011-pagina-individual.pdf" TargetMode="External"/><Relationship Id="rId34" Type="http://schemas.openxmlformats.org/officeDocument/2006/relationships/image" Target="media/image13.emf"/><Relationship Id="rId42" Type="http://schemas.microsoft.com/office/2007/relationships/hdphoto" Target="media/hdphoto1.wdp"/><Relationship Id="rId47" Type="http://schemas.openxmlformats.org/officeDocument/2006/relationships/image" Target="media/image22.png"/><Relationship Id="rId50" Type="http://schemas.openxmlformats.org/officeDocument/2006/relationships/image" Target="media/image24.gif"/><Relationship Id="rId55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hyperlink" Target="http://www.jusbrasil.com.br/legislacao/anotada/2470467/art-170-da-constituicao-federal-de-88" TargetMode="External"/><Relationship Id="rId25" Type="http://schemas.openxmlformats.org/officeDocument/2006/relationships/image" Target="media/image4.emf"/><Relationship Id="rId33" Type="http://schemas.openxmlformats.org/officeDocument/2006/relationships/image" Target="media/image12.emf"/><Relationship Id="rId38" Type="http://schemas.openxmlformats.org/officeDocument/2006/relationships/image" Target="media/image17.emf"/><Relationship Id="rId46" Type="http://schemas.microsoft.com/office/2007/relationships/hdphoto" Target="media/hdphoto3.wdp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www.ibge.gov.br/home/presidencia/noticias/noticia_impressao.php?id_noticia=1830" TargetMode="External"/><Relationship Id="rId20" Type="http://schemas.openxmlformats.org/officeDocument/2006/relationships/hyperlink" Target="http://www.previg.org.br/" TargetMode="External"/><Relationship Id="rId29" Type="http://schemas.openxmlformats.org/officeDocument/2006/relationships/image" Target="media/image8.emf"/><Relationship Id="rId54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wmf"/><Relationship Id="rId24" Type="http://schemas.openxmlformats.org/officeDocument/2006/relationships/image" Target="media/image3.emf"/><Relationship Id="rId32" Type="http://schemas.openxmlformats.org/officeDocument/2006/relationships/image" Target="media/image11.emf"/><Relationship Id="rId37" Type="http://schemas.openxmlformats.org/officeDocument/2006/relationships/image" Target="media/image16.emf"/><Relationship Id="rId40" Type="http://schemas.openxmlformats.org/officeDocument/2006/relationships/image" Target="media/image19.png"/><Relationship Id="rId45" Type="http://schemas.openxmlformats.org/officeDocument/2006/relationships/image" Target="media/image21.png"/><Relationship Id="rId53" Type="http://schemas.openxmlformats.org/officeDocument/2006/relationships/image" Target="media/image27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portal2.tcu.gov.br/portal/pls/portal/docs/2054430.PDF" TargetMode="External"/><Relationship Id="rId23" Type="http://schemas.openxmlformats.org/officeDocument/2006/relationships/hyperlink" Target="http://www.usiminas.com/irj/servlet/prt/portal/prtroot/pcd!3aportal_content!2fusiminas!2fcomum!2fconteudo!2fiviews!2fbr.com.su.i.iview.JAI_iView_Publica_do_KM/prtl_est/Corporativo/RelatorioDeSustentabilidade/2011/port/ra/11.htm" TargetMode="External"/><Relationship Id="rId28" Type="http://schemas.openxmlformats.org/officeDocument/2006/relationships/image" Target="media/image7.emf"/><Relationship Id="rId36" Type="http://schemas.openxmlformats.org/officeDocument/2006/relationships/image" Target="media/image15.emf"/><Relationship Id="rId49" Type="http://schemas.openxmlformats.org/officeDocument/2006/relationships/hyperlink" Target="http://www.ibge.gov.br/home/estatistica/indicadores/pib/defaultcnt.shtm" TargetMode="External"/><Relationship Id="rId57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://www.planalto.gov.br/ccivil_03/_ato2007-2010/2007/lei/l11638.htm" TargetMode="External"/><Relationship Id="rId31" Type="http://schemas.openxmlformats.org/officeDocument/2006/relationships/image" Target="media/image10.emf"/><Relationship Id="rId44" Type="http://schemas.microsoft.com/office/2007/relationships/hdphoto" Target="media/hdphoto2.wdp"/><Relationship Id="rId52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hyperlink" Target="http://www.leme.com.br/" TargetMode="External"/><Relationship Id="rId14" Type="http://schemas.openxmlformats.org/officeDocument/2006/relationships/hyperlink" Target="http://www.fjp.gov.br/index.php/analise-economica/pib-produto-interno-bruto-de-minas-gerais" TargetMode="External"/><Relationship Id="rId22" Type="http://schemas.openxmlformats.org/officeDocument/2006/relationships/hyperlink" Target="http://www.cereja.org.br/site/_shared%5CFiles%5Ccer_tesesDissertacoesTccs%5Canx%5C20100408131727_IF_luizfernandorrodrigues.pdf" TargetMode="External"/><Relationship Id="rId27" Type="http://schemas.openxmlformats.org/officeDocument/2006/relationships/image" Target="media/image6.emf"/><Relationship Id="rId30" Type="http://schemas.openxmlformats.org/officeDocument/2006/relationships/image" Target="media/image9.emf"/><Relationship Id="rId35" Type="http://schemas.openxmlformats.org/officeDocument/2006/relationships/image" Target="media/image14.emf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56" Type="http://schemas.openxmlformats.org/officeDocument/2006/relationships/image" Target="media/image30.jpeg"/><Relationship Id="rId8" Type="http://schemas.openxmlformats.org/officeDocument/2006/relationships/hyperlink" Target="http://www.tractebelenergia.com.br/" TargetMode="External"/><Relationship Id="rId51" Type="http://schemas.openxmlformats.org/officeDocument/2006/relationships/image" Target="media/image25.gi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FCB19-DFB6-4E75-AED0-69859465A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47</Pages>
  <Words>9512</Words>
  <Characters>51371</Characters>
  <Application>Microsoft Office Word</Application>
  <DocSecurity>0</DocSecurity>
  <Lines>428</Lines>
  <Paragraphs>121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contabilidade11</cp:lastModifiedBy>
  <cp:revision>42</cp:revision>
  <dcterms:created xsi:type="dcterms:W3CDTF">2012-11-01T09:35:00Z</dcterms:created>
  <dcterms:modified xsi:type="dcterms:W3CDTF">2012-11-01T16:05:00Z</dcterms:modified>
</cp:coreProperties>
</file>