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60EE" w:rsidRDefault="000660EE" w:rsidP="000660EE">
      <w:pPr>
        <w:spacing w:line="360" w:lineRule="auto"/>
        <w:jc w:val="center"/>
        <w:rPr>
          <w:rFonts w:ascii="Arial" w:hAnsi="Arial" w:cs="Arial"/>
          <w:b/>
          <w:sz w:val="24"/>
          <w:szCs w:val="24"/>
        </w:rPr>
      </w:pPr>
      <w:r>
        <w:rPr>
          <w:rFonts w:ascii="Arial" w:hAnsi="Arial" w:cs="Arial"/>
          <w:b/>
          <w:sz w:val="24"/>
          <w:szCs w:val="24"/>
        </w:rPr>
        <w:t>Desenvolvimento e Sustentabilidade Rural na Região de Sorocaba-SP</w:t>
      </w:r>
    </w:p>
    <w:p w:rsidR="000660EE" w:rsidRPr="000660EE" w:rsidRDefault="000660EE" w:rsidP="000660EE">
      <w:pPr>
        <w:spacing w:line="360" w:lineRule="auto"/>
        <w:jc w:val="right"/>
        <w:rPr>
          <w:rFonts w:ascii="Arial" w:hAnsi="Arial" w:cs="Arial"/>
          <w:sz w:val="24"/>
          <w:szCs w:val="24"/>
        </w:rPr>
      </w:pPr>
      <w:r w:rsidRPr="000660EE">
        <w:rPr>
          <w:rFonts w:ascii="Arial" w:hAnsi="Arial" w:cs="Arial"/>
          <w:sz w:val="24"/>
          <w:szCs w:val="24"/>
        </w:rPr>
        <w:t>Daniel Bertoli Gonçalves</w:t>
      </w:r>
    </w:p>
    <w:p w:rsidR="000660EE" w:rsidRDefault="000660EE" w:rsidP="000660EE">
      <w:pPr>
        <w:spacing w:line="360" w:lineRule="auto"/>
        <w:jc w:val="center"/>
        <w:rPr>
          <w:rFonts w:ascii="Arial" w:hAnsi="Arial" w:cs="Arial"/>
          <w:b/>
          <w:sz w:val="24"/>
          <w:szCs w:val="24"/>
        </w:rPr>
      </w:pPr>
    </w:p>
    <w:p w:rsidR="000660EE" w:rsidRPr="000660EE" w:rsidRDefault="000660EE" w:rsidP="000660EE">
      <w:pPr>
        <w:pStyle w:val="Ttulo2"/>
        <w:rPr>
          <w:rFonts w:ascii="Arial" w:hAnsi="Arial" w:cs="Arial"/>
          <w:b/>
        </w:rPr>
      </w:pPr>
      <w:r w:rsidRPr="000660EE">
        <w:rPr>
          <w:rFonts w:ascii="Arial" w:hAnsi="Arial" w:cs="Arial"/>
          <w:b/>
        </w:rPr>
        <w:t>Resumo</w:t>
      </w:r>
    </w:p>
    <w:p w:rsidR="000660EE" w:rsidRPr="00720725" w:rsidRDefault="000660EE" w:rsidP="000660EE">
      <w:pPr>
        <w:spacing w:line="360" w:lineRule="auto"/>
        <w:jc w:val="both"/>
        <w:rPr>
          <w:rFonts w:ascii="Arial" w:hAnsi="Arial" w:cs="Arial"/>
          <w:b/>
          <w:i/>
        </w:rPr>
      </w:pPr>
    </w:p>
    <w:p w:rsidR="000660EE" w:rsidRPr="000660EE" w:rsidRDefault="000660EE" w:rsidP="000660EE">
      <w:pPr>
        <w:spacing w:line="360" w:lineRule="auto"/>
        <w:jc w:val="both"/>
        <w:rPr>
          <w:rFonts w:ascii="Arial" w:hAnsi="Arial" w:cs="Arial"/>
          <w:i/>
        </w:rPr>
      </w:pPr>
      <w:r w:rsidRPr="000660EE">
        <w:rPr>
          <w:rFonts w:ascii="Arial" w:hAnsi="Arial" w:cs="Arial"/>
          <w:i/>
        </w:rPr>
        <w:t xml:space="preserve">A Região Administrativa de Sorocaba vem passando por um rápido crescimento econômico, marcado pela diversificação de suas atividades, com impactos positivos na qualidade de vida de sua população, mas muito se questiona sobre o papel reservado aos agricultores nessa nova dinâmica regional. Nesse sentido, a proposta deste trabalho </w:t>
      </w:r>
      <w:r w:rsidRPr="000660EE">
        <w:rPr>
          <w:rFonts w:ascii="Arial" w:hAnsi="Arial" w:cs="Arial"/>
          <w:i/>
        </w:rPr>
        <w:t>foi</w:t>
      </w:r>
      <w:r w:rsidRPr="000660EE">
        <w:rPr>
          <w:rFonts w:ascii="Arial" w:hAnsi="Arial" w:cs="Arial"/>
          <w:i/>
        </w:rPr>
        <w:t xml:space="preserve"> </w:t>
      </w:r>
      <w:proofErr w:type="gramStart"/>
      <w:r w:rsidRPr="000660EE">
        <w:rPr>
          <w:rFonts w:ascii="Arial" w:hAnsi="Arial" w:cs="Arial"/>
          <w:i/>
        </w:rPr>
        <w:t>a</w:t>
      </w:r>
      <w:proofErr w:type="gramEnd"/>
      <w:r w:rsidRPr="000660EE">
        <w:rPr>
          <w:rFonts w:ascii="Arial" w:hAnsi="Arial" w:cs="Arial"/>
          <w:i/>
        </w:rPr>
        <w:t xml:space="preserve"> caracterização da situação social, organizacional, econômica e ambiental das diversas atividades produtivas praticadas no meio rural da Região Administrativa de Sorocaba, de forma a diagnosticar os principais entraves produtivos e administrativos, e subsidiar a elaboração de políticas públicas de desenvolvimento rural sustentável para os diferentes níveis de governo da Região Administrativa de Sorocaba. </w:t>
      </w:r>
      <w:r w:rsidRPr="000660EE">
        <w:rPr>
          <w:rFonts w:ascii="Arial" w:hAnsi="Arial" w:cs="Arial"/>
          <w:i/>
        </w:rPr>
        <w:t>Os resultados preliminares deste estudo revelam uma grande participação da agricultura familiar organizada em várias associações e cooperativas, com estratégias diversificadas de atuação, que vai da venda direta em feiras livres até a participação nas compras públicas realizadas pelos municípios e pelo estado, o que tem garantido a sobrevivência desses grupos no meio rural, mesmo diante da forte pressão imobiliária exercida por alguns grupos econômicos, e da atratividade dos empregos oferecidos no comércio e na indústria, ambos em franca expansão na região estudada.</w:t>
      </w:r>
    </w:p>
    <w:p w:rsidR="000660EE" w:rsidRPr="000660EE" w:rsidRDefault="000660EE" w:rsidP="000660EE">
      <w:pPr>
        <w:spacing w:line="360" w:lineRule="auto"/>
        <w:jc w:val="both"/>
        <w:rPr>
          <w:rFonts w:ascii="Arial" w:hAnsi="Arial" w:cs="Arial"/>
          <w:i/>
        </w:rPr>
      </w:pPr>
    </w:p>
    <w:p w:rsidR="000660EE" w:rsidRPr="000660EE" w:rsidRDefault="000660EE" w:rsidP="000660EE">
      <w:pPr>
        <w:spacing w:line="360" w:lineRule="auto"/>
        <w:jc w:val="both"/>
        <w:rPr>
          <w:rFonts w:ascii="Arial" w:hAnsi="Arial" w:cs="Arial"/>
          <w:i/>
        </w:rPr>
      </w:pPr>
      <w:r w:rsidRPr="000660EE">
        <w:rPr>
          <w:rFonts w:ascii="Arial" w:hAnsi="Arial" w:cs="Arial"/>
          <w:i/>
        </w:rPr>
        <w:t xml:space="preserve">Palavras chave: Agricultura familiar, desenvolvimento, mercado </w:t>
      </w:r>
      <w:proofErr w:type="gramStart"/>
      <w:r w:rsidRPr="000660EE">
        <w:rPr>
          <w:rFonts w:ascii="Arial" w:hAnsi="Arial" w:cs="Arial"/>
          <w:i/>
        </w:rPr>
        <w:t>institucional</w:t>
      </w:r>
      <w:proofErr w:type="gramEnd"/>
    </w:p>
    <w:p w:rsidR="000660EE" w:rsidRDefault="000660EE" w:rsidP="000660EE">
      <w:pPr>
        <w:spacing w:line="360" w:lineRule="auto"/>
        <w:rPr>
          <w:rFonts w:ascii="Arial" w:hAnsi="Arial" w:cs="Arial"/>
          <w:sz w:val="24"/>
          <w:szCs w:val="24"/>
        </w:rPr>
      </w:pPr>
    </w:p>
    <w:p w:rsidR="000660EE" w:rsidRPr="00D54359" w:rsidRDefault="000660EE" w:rsidP="000660EE">
      <w:pPr>
        <w:spacing w:line="360" w:lineRule="auto"/>
        <w:rPr>
          <w:rFonts w:ascii="Arial" w:hAnsi="Arial" w:cs="Arial"/>
          <w:b/>
          <w:sz w:val="24"/>
        </w:rPr>
      </w:pPr>
      <w:r w:rsidRPr="00D54359">
        <w:rPr>
          <w:rFonts w:ascii="Arial" w:hAnsi="Arial" w:cs="Arial"/>
          <w:b/>
          <w:sz w:val="24"/>
        </w:rPr>
        <w:t>Introdução</w:t>
      </w:r>
    </w:p>
    <w:p w:rsidR="00D54359" w:rsidRPr="000660EE" w:rsidRDefault="00D54359" w:rsidP="00D54359">
      <w:pPr>
        <w:spacing w:line="360" w:lineRule="auto"/>
        <w:ind w:firstLine="540"/>
        <w:jc w:val="both"/>
        <w:rPr>
          <w:rFonts w:ascii="Arial" w:hAnsi="Arial" w:cs="Arial"/>
        </w:rPr>
      </w:pPr>
      <w:r w:rsidRPr="000660EE">
        <w:rPr>
          <w:rFonts w:ascii="Arial" w:hAnsi="Arial" w:cs="Arial"/>
        </w:rPr>
        <w:t>O município de Sorocaba, oitavo mais populoso do Estado de São Paulo, está localizado na região sudeste do estado, a 97 quilômetros de distância da capital, sob o Trópico de Capricórnio. Com uma população estimada em 584.313 habitantes, é uma das cidades mais povoadas do Estado, com densidade superior a 1.000 habitantes por km2 e considerada uma capital regional, da microrregião que leva seu nome e conta com mais de 1,5 milhão de habitantes em 14 municípios. Sorocaba possui uma área de 456 km², sendo 349,2 km² de área urbana e 106,8 km² de área rural.</w:t>
      </w:r>
    </w:p>
    <w:p w:rsidR="00D54359" w:rsidRPr="000660EE" w:rsidRDefault="00D54359" w:rsidP="00D54359">
      <w:pPr>
        <w:spacing w:line="360" w:lineRule="auto"/>
        <w:ind w:firstLine="540"/>
        <w:jc w:val="both"/>
        <w:rPr>
          <w:rFonts w:ascii="Arial" w:hAnsi="Arial" w:cs="Arial"/>
        </w:rPr>
      </w:pPr>
      <w:r w:rsidRPr="000660EE">
        <w:rPr>
          <w:rFonts w:ascii="Arial" w:hAnsi="Arial" w:cs="Arial"/>
        </w:rPr>
        <w:t>Vigésima nona cidade brasileira com maior potencial de consumo, sua população economicamente ativa possui renda per capita acima da média doe estado, sendo responsável por uma fatia de 0,5% do total do consumo nacional.</w:t>
      </w:r>
    </w:p>
    <w:p w:rsidR="00D54359" w:rsidRPr="000660EE" w:rsidRDefault="00D54359" w:rsidP="00D54359">
      <w:pPr>
        <w:spacing w:line="360" w:lineRule="auto"/>
        <w:ind w:firstLine="540"/>
        <w:jc w:val="both"/>
        <w:rPr>
          <w:rFonts w:ascii="Arial" w:hAnsi="Arial" w:cs="Arial"/>
        </w:rPr>
      </w:pPr>
      <w:r w:rsidRPr="000660EE">
        <w:rPr>
          <w:rFonts w:ascii="Arial" w:hAnsi="Arial" w:cs="Arial"/>
        </w:rPr>
        <w:t xml:space="preserve">A Região Administrativa (RA) de Sorocaba está dividida em cinco Regiões de Governo (RG), que totalizam 79 municípios. São elas: RG de Avaré; RG de Botucatu; RG de Itapeva; RG de Itapetininga; e a RG de Sorocaba. A RG de Sorocaba (RGS) é formada por 18 municípios: Alumínio, Araçariguama, Araçoiaba da Serra, Ibiúna, Iperó, Itu, Jumirim, Mairinque, Piedade, Pilar do Sul, Porto Feliz, Salto de Pirapora, Salto, São Roque, Sorocaba, </w:t>
      </w:r>
      <w:proofErr w:type="spellStart"/>
      <w:r w:rsidRPr="000660EE">
        <w:rPr>
          <w:rFonts w:ascii="Arial" w:hAnsi="Arial" w:cs="Arial"/>
        </w:rPr>
        <w:t>Tapiraí</w:t>
      </w:r>
      <w:proofErr w:type="spellEnd"/>
      <w:r w:rsidRPr="000660EE">
        <w:rPr>
          <w:rFonts w:ascii="Arial" w:hAnsi="Arial" w:cs="Arial"/>
        </w:rPr>
        <w:t xml:space="preserve">, </w:t>
      </w:r>
      <w:r w:rsidRPr="000660EE">
        <w:rPr>
          <w:rFonts w:ascii="Arial" w:hAnsi="Arial" w:cs="Arial"/>
        </w:rPr>
        <w:lastRenderedPageBreak/>
        <w:t>Tietê e Votorantim. A sede da Região é o próprio município de Sorocaba, seu maior polo, que concentra 20,2% da população regional.</w:t>
      </w:r>
    </w:p>
    <w:p w:rsidR="00D54359" w:rsidRPr="000660EE" w:rsidRDefault="00D54359" w:rsidP="00D54359">
      <w:pPr>
        <w:spacing w:line="360" w:lineRule="auto"/>
        <w:ind w:firstLine="540"/>
        <w:jc w:val="both"/>
        <w:rPr>
          <w:rFonts w:ascii="Arial" w:hAnsi="Arial" w:cs="Arial"/>
        </w:rPr>
      </w:pPr>
      <w:r w:rsidRPr="000660EE">
        <w:rPr>
          <w:rFonts w:ascii="Arial" w:hAnsi="Arial" w:cs="Arial"/>
        </w:rPr>
        <w:t>A agricultura na Região Administrativa, assim como a indústria, é diversificada e representava mais de 11% do valor produzido pelo setor, em 2001, segundo os dados do Instituto de Economia Agrícola – IEA. Em Avaré são importantes as produções de carne bovina, batata e feijão, mas têm participação expressiva no Estado as produções de pêssego e trigo (20% cada). Em Botucatu predominam a cana-de-açúcar, a carne de frango e a carne bovina, enquanto Itapetininga produz principalmente batata (26% da produção estadual), carne bovina e carne de frango. Itapeva é o maior produtor estadual de tomate (sua principal cultura), mas têm grande expressividade as lavouras de feijão, milho e trigo (esta com 32% da produção estadual). O entorno de Sorocaba, por sua vez, embora tenha a maior parcela de sua produção agropecuária na cana-de-açúcar, carne de frango e carne bovina, detém 60% da produção de repolho do Estado, 51% da de cenoura e 35% da de beterraba, o que mostra a grande diversificação da produção agropecuária regional, praticada majoritariamente por pequenos agricultores familiares.</w:t>
      </w:r>
    </w:p>
    <w:p w:rsidR="00D54359" w:rsidRPr="000660EE" w:rsidRDefault="00D54359" w:rsidP="00D54359">
      <w:pPr>
        <w:spacing w:line="360" w:lineRule="auto"/>
        <w:ind w:firstLine="708"/>
        <w:jc w:val="both"/>
        <w:rPr>
          <w:rFonts w:ascii="Arial" w:hAnsi="Arial" w:cs="Arial"/>
        </w:rPr>
      </w:pPr>
      <w:r w:rsidRPr="000660EE">
        <w:rPr>
          <w:rFonts w:ascii="Arial" w:hAnsi="Arial" w:cs="Arial"/>
        </w:rPr>
        <w:t>A Região Administrativa de Sorocaba vem passando por um rápido crescimento econômico, marcado pela diversificação de suas atividades, com impactos positivos na qualidade de vida de sua população, mas muito se questiona sobre o papel reservado aos agricultores nessa nova dinâmica regional.</w:t>
      </w:r>
    </w:p>
    <w:p w:rsidR="00D54359" w:rsidRPr="000660EE" w:rsidRDefault="00D54359" w:rsidP="00D54359">
      <w:pPr>
        <w:pStyle w:val="Cabealho"/>
        <w:tabs>
          <w:tab w:val="left" w:pos="708"/>
        </w:tabs>
        <w:spacing w:line="360" w:lineRule="auto"/>
        <w:ind w:firstLine="709"/>
        <w:jc w:val="both"/>
        <w:rPr>
          <w:rFonts w:ascii="Arial" w:hAnsi="Arial" w:cs="Arial"/>
          <w:sz w:val="20"/>
          <w:szCs w:val="20"/>
          <w:lang w:val="pt-BR"/>
        </w:rPr>
      </w:pPr>
      <w:r w:rsidRPr="000660EE">
        <w:rPr>
          <w:rFonts w:ascii="Arial" w:hAnsi="Arial" w:cs="Arial"/>
          <w:sz w:val="20"/>
          <w:szCs w:val="20"/>
        </w:rPr>
        <w:t>Por isso, ao aborda</w:t>
      </w:r>
      <w:r w:rsidRPr="000660EE">
        <w:rPr>
          <w:rFonts w:ascii="Arial" w:hAnsi="Arial" w:cs="Arial"/>
          <w:sz w:val="20"/>
          <w:szCs w:val="20"/>
          <w:lang w:val="pt-BR"/>
        </w:rPr>
        <w:t>r</w:t>
      </w:r>
      <w:r w:rsidRPr="000660EE">
        <w:rPr>
          <w:rFonts w:ascii="Arial" w:hAnsi="Arial" w:cs="Arial"/>
          <w:sz w:val="20"/>
          <w:szCs w:val="20"/>
        </w:rPr>
        <w:t xml:space="preserve"> as diversas atividades produtivas praticadas no meio rural </w:t>
      </w:r>
      <w:r w:rsidRPr="000660EE">
        <w:rPr>
          <w:rFonts w:ascii="Arial" w:hAnsi="Arial" w:cs="Arial"/>
          <w:sz w:val="20"/>
          <w:szCs w:val="20"/>
          <w:lang w:val="pt-BR"/>
        </w:rPr>
        <w:t xml:space="preserve">de </w:t>
      </w:r>
      <w:r w:rsidRPr="000660EE">
        <w:rPr>
          <w:rFonts w:ascii="Arial" w:hAnsi="Arial" w:cs="Arial"/>
          <w:sz w:val="20"/>
          <w:szCs w:val="20"/>
        </w:rPr>
        <w:t>Sorocaba e região</w:t>
      </w:r>
      <w:r w:rsidRPr="000660EE">
        <w:rPr>
          <w:rFonts w:ascii="Arial" w:hAnsi="Arial" w:cs="Arial"/>
          <w:sz w:val="20"/>
          <w:szCs w:val="20"/>
          <w:lang w:val="pt-BR"/>
        </w:rPr>
        <w:t>,</w:t>
      </w:r>
      <w:r w:rsidRPr="000660EE">
        <w:rPr>
          <w:rFonts w:ascii="Arial" w:hAnsi="Arial" w:cs="Arial"/>
          <w:sz w:val="20"/>
          <w:szCs w:val="20"/>
        </w:rPr>
        <w:t xml:space="preserve"> </w:t>
      </w:r>
      <w:r w:rsidRPr="000660EE">
        <w:rPr>
          <w:rFonts w:ascii="Arial" w:hAnsi="Arial" w:cs="Arial"/>
          <w:sz w:val="20"/>
          <w:szCs w:val="20"/>
          <w:lang w:val="pt-BR"/>
        </w:rPr>
        <w:t>inserem-se várias questões que são</w:t>
      </w:r>
      <w:r w:rsidRPr="000660EE">
        <w:rPr>
          <w:rFonts w:ascii="Arial" w:hAnsi="Arial" w:cs="Arial"/>
          <w:sz w:val="20"/>
          <w:szCs w:val="20"/>
        </w:rPr>
        <w:t xml:space="preserve"> de interesse para pesquisadores d</w:t>
      </w:r>
      <w:r>
        <w:rPr>
          <w:rFonts w:ascii="Arial" w:hAnsi="Arial" w:cs="Arial"/>
          <w:sz w:val="20"/>
          <w:szCs w:val="20"/>
          <w:lang w:val="pt-BR"/>
        </w:rPr>
        <w:t>e diversas</w:t>
      </w:r>
      <w:r w:rsidRPr="000660EE">
        <w:rPr>
          <w:rFonts w:ascii="Arial" w:hAnsi="Arial" w:cs="Arial"/>
          <w:sz w:val="20"/>
          <w:szCs w:val="20"/>
        </w:rPr>
        <w:t xml:space="preserve"> área</w:t>
      </w:r>
      <w:r>
        <w:rPr>
          <w:rFonts w:ascii="Arial" w:hAnsi="Arial" w:cs="Arial"/>
          <w:sz w:val="20"/>
          <w:szCs w:val="20"/>
          <w:lang w:val="pt-BR"/>
        </w:rPr>
        <w:t>s</w:t>
      </w:r>
      <w:r w:rsidRPr="000660EE">
        <w:rPr>
          <w:rFonts w:ascii="Arial" w:hAnsi="Arial" w:cs="Arial"/>
          <w:sz w:val="20"/>
          <w:szCs w:val="20"/>
          <w:lang w:val="pt-BR"/>
        </w:rPr>
        <w:t>,</w:t>
      </w:r>
      <w:r w:rsidRPr="000660EE">
        <w:rPr>
          <w:rFonts w:ascii="Arial" w:hAnsi="Arial" w:cs="Arial"/>
          <w:sz w:val="20"/>
          <w:szCs w:val="20"/>
        </w:rPr>
        <w:t xml:space="preserve"> que</w:t>
      </w:r>
      <w:r w:rsidRPr="000660EE">
        <w:rPr>
          <w:rFonts w:ascii="Arial" w:hAnsi="Arial" w:cs="Arial"/>
          <w:sz w:val="20"/>
          <w:szCs w:val="20"/>
          <w:lang w:val="pt-BR"/>
        </w:rPr>
        <w:t xml:space="preserve"> vão das formas de organização social e produtiva praticadas, ao papel deste importante segmento da economia no desenvolvimento regional, passando por todos os aspectos locais, regionais, históricos, produtivos e organizacionais, cujos</w:t>
      </w:r>
      <w:r w:rsidRPr="000660EE">
        <w:rPr>
          <w:rFonts w:ascii="Arial" w:hAnsi="Arial" w:cs="Arial"/>
          <w:sz w:val="20"/>
          <w:szCs w:val="20"/>
        </w:rPr>
        <w:t xml:space="preserve"> resultados </w:t>
      </w:r>
      <w:r w:rsidRPr="000660EE">
        <w:rPr>
          <w:rFonts w:ascii="Arial" w:hAnsi="Arial" w:cs="Arial"/>
          <w:sz w:val="20"/>
          <w:szCs w:val="20"/>
          <w:lang w:val="pt-BR"/>
        </w:rPr>
        <w:t>podem</w:t>
      </w:r>
      <w:r w:rsidRPr="000660EE">
        <w:rPr>
          <w:rFonts w:ascii="Arial" w:hAnsi="Arial" w:cs="Arial"/>
          <w:sz w:val="20"/>
          <w:szCs w:val="20"/>
        </w:rPr>
        <w:t xml:space="preserve"> colabor</w:t>
      </w:r>
      <w:r w:rsidRPr="000660EE">
        <w:rPr>
          <w:rFonts w:ascii="Arial" w:hAnsi="Arial" w:cs="Arial"/>
          <w:sz w:val="20"/>
          <w:szCs w:val="20"/>
          <w:lang w:val="pt-BR"/>
        </w:rPr>
        <w:t>ar sobremaneira</w:t>
      </w:r>
      <w:r w:rsidRPr="000660EE">
        <w:rPr>
          <w:rFonts w:ascii="Arial" w:hAnsi="Arial" w:cs="Arial"/>
          <w:sz w:val="20"/>
          <w:szCs w:val="20"/>
        </w:rPr>
        <w:t xml:space="preserve"> com o desenvolvimento </w:t>
      </w:r>
      <w:r w:rsidRPr="000660EE">
        <w:rPr>
          <w:rFonts w:ascii="Arial" w:hAnsi="Arial" w:cs="Arial"/>
          <w:sz w:val="20"/>
          <w:szCs w:val="20"/>
          <w:lang w:val="pt-BR"/>
        </w:rPr>
        <w:t>sustentável</w:t>
      </w:r>
      <w:r w:rsidRPr="000660EE">
        <w:rPr>
          <w:rFonts w:ascii="Arial" w:hAnsi="Arial" w:cs="Arial"/>
          <w:sz w:val="20"/>
          <w:szCs w:val="20"/>
        </w:rPr>
        <w:t xml:space="preserve"> </w:t>
      </w:r>
      <w:r w:rsidRPr="000660EE">
        <w:rPr>
          <w:rFonts w:ascii="Arial" w:hAnsi="Arial" w:cs="Arial"/>
          <w:sz w:val="20"/>
          <w:szCs w:val="20"/>
          <w:lang w:val="pt-BR"/>
        </w:rPr>
        <w:t xml:space="preserve">da </w:t>
      </w:r>
      <w:r w:rsidRPr="000660EE">
        <w:rPr>
          <w:rFonts w:ascii="Arial" w:hAnsi="Arial" w:cs="Arial"/>
          <w:sz w:val="20"/>
          <w:szCs w:val="20"/>
        </w:rPr>
        <w:t>regi</w:t>
      </w:r>
      <w:r w:rsidRPr="000660EE">
        <w:rPr>
          <w:rFonts w:ascii="Arial" w:hAnsi="Arial" w:cs="Arial"/>
          <w:sz w:val="20"/>
          <w:szCs w:val="20"/>
          <w:lang w:val="pt-BR"/>
        </w:rPr>
        <w:t>ão.</w:t>
      </w:r>
    </w:p>
    <w:p w:rsidR="000660EE" w:rsidRDefault="000660EE" w:rsidP="000660EE">
      <w:pPr>
        <w:spacing w:line="360" w:lineRule="auto"/>
        <w:rPr>
          <w:rFonts w:ascii="Arial" w:hAnsi="Arial" w:cs="Arial"/>
        </w:rPr>
      </w:pPr>
    </w:p>
    <w:p w:rsidR="00945111" w:rsidRDefault="00945111" w:rsidP="000660EE">
      <w:pPr>
        <w:spacing w:line="360" w:lineRule="auto"/>
        <w:rPr>
          <w:rFonts w:ascii="Arial" w:hAnsi="Arial" w:cs="Arial"/>
          <w:b/>
          <w:sz w:val="24"/>
        </w:rPr>
      </w:pPr>
      <w:r>
        <w:rPr>
          <w:rFonts w:ascii="Arial" w:hAnsi="Arial" w:cs="Arial"/>
          <w:b/>
          <w:sz w:val="24"/>
        </w:rPr>
        <w:t>As diversidades do meio rural</w:t>
      </w:r>
    </w:p>
    <w:p w:rsidR="00945111" w:rsidRDefault="00945111" w:rsidP="000660EE">
      <w:pPr>
        <w:spacing w:line="360" w:lineRule="auto"/>
        <w:rPr>
          <w:rFonts w:ascii="Arial" w:hAnsi="Arial" w:cs="Arial"/>
        </w:rPr>
      </w:pPr>
    </w:p>
    <w:p w:rsidR="00945111" w:rsidRDefault="00945111" w:rsidP="00167F02">
      <w:pPr>
        <w:spacing w:line="360" w:lineRule="auto"/>
        <w:ind w:firstLine="567"/>
        <w:jc w:val="both"/>
        <w:rPr>
          <w:rFonts w:ascii="Arial" w:hAnsi="Arial" w:cs="Arial"/>
        </w:rPr>
      </w:pPr>
      <w:r w:rsidRPr="00945111">
        <w:rPr>
          <w:rFonts w:ascii="Arial" w:hAnsi="Arial" w:cs="Arial"/>
        </w:rPr>
        <w:t>No Brasil, o papel da agricultura sempre foi fornecer alimentos para a população e matéria prima para alguns ramos da indústria. Com o passar do tempo, e em meio a controversas opções políticas e econômicas, a agricultura se fragmentou, consolidando os extremos do grande agronegócio e da pequena produção familiar.</w:t>
      </w:r>
    </w:p>
    <w:p w:rsidR="00AF1327" w:rsidRDefault="00AF1327" w:rsidP="00167F02">
      <w:pPr>
        <w:spacing w:line="360" w:lineRule="auto"/>
        <w:ind w:firstLine="567"/>
        <w:jc w:val="both"/>
        <w:rPr>
          <w:rFonts w:ascii="Arial" w:hAnsi="Arial" w:cs="Arial"/>
        </w:rPr>
      </w:pPr>
      <w:r>
        <w:rPr>
          <w:rFonts w:ascii="Arial" w:hAnsi="Arial" w:cs="Arial"/>
        </w:rPr>
        <w:t>Segundo</w:t>
      </w:r>
      <w:r w:rsidRPr="00AF1327">
        <w:rPr>
          <w:rFonts w:ascii="Arial" w:hAnsi="Arial" w:cs="Arial"/>
        </w:rPr>
        <w:t xml:space="preserve"> Callado (2006), o agronegócio </w:t>
      </w:r>
      <w:r>
        <w:rPr>
          <w:rFonts w:ascii="Arial" w:hAnsi="Arial" w:cs="Arial"/>
        </w:rPr>
        <w:t>pode ser definido como</w:t>
      </w:r>
      <w:r w:rsidRPr="00AF1327">
        <w:rPr>
          <w:rFonts w:ascii="Arial" w:hAnsi="Arial" w:cs="Arial"/>
        </w:rPr>
        <w:t xml:space="preserve"> um conjunto de empresas que produzem insumos agrícolas, as propriedades rurais, as empresas de processamento e toda a distribuição. No Brasil o termo é usado quando se refere a um tipo especial de produção agrícola, caracterizada pela agricultura em grande escala, baseada no plantio ou na criação de rebanhos e em grandes extensões de terra. Estes negócios, </w:t>
      </w:r>
      <w:r w:rsidR="00B0139B">
        <w:rPr>
          <w:rFonts w:ascii="Arial" w:hAnsi="Arial" w:cs="Arial"/>
        </w:rPr>
        <w:t>no geral</w:t>
      </w:r>
      <w:r w:rsidRPr="00AF1327">
        <w:rPr>
          <w:rFonts w:ascii="Arial" w:hAnsi="Arial" w:cs="Arial"/>
        </w:rPr>
        <w:t>, se fundamentam na propriedade latifundiária bem como na prática de arrendamentos.</w:t>
      </w:r>
    </w:p>
    <w:p w:rsidR="00AF1327" w:rsidRDefault="00AF1327" w:rsidP="00167F02">
      <w:pPr>
        <w:spacing w:line="360" w:lineRule="auto"/>
        <w:ind w:firstLine="567"/>
        <w:jc w:val="both"/>
        <w:rPr>
          <w:rFonts w:ascii="Arial" w:hAnsi="Arial" w:cs="Arial"/>
          <w:color w:val="000000"/>
          <w:shd w:val="clear" w:color="auto" w:fill="FFFFFF"/>
        </w:rPr>
      </w:pPr>
      <w:r>
        <w:rPr>
          <w:rFonts w:ascii="Arial" w:hAnsi="Arial" w:cs="Arial"/>
          <w:color w:val="000000"/>
          <w:shd w:val="clear" w:color="auto" w:fill="FFFFFF"/>
        </w:rPr>
        <w:t>Davis e Goldberg (1957) def</w:t>
      </w:r>
      <w:r>
        <w:rPr>
          <w:rFonts w:ascii="Arial" w:hAnsi="Arial" w:cs="Arial"/>
          <w:color w:val="000000"/>
          <w:shd w:val="clear" w:color="auto" w:fill="FFFFFF"/>
        </w:rPr>
        <w:t>inem, o agronegócio como sendo “</w:t>
      </w:r>
      <w:r>
        <w:rPr>
          <w:rFonts w:ascii="Arial" w:hAnsi="Arial" w:cs="Arial"/>
          <w:color w:val="000000"/>
          <w:shd w:val="clear" w:color="auto" w:fill="FFFFFF"/>
        </w:rPr>
        <w:t xml:space="preserve">a soma total das operações de produção e distribuição de suprimentos agrícolas; das operações de produção na </w:t>
      </w:r>
      <w:r>
        <w:rPr>
          <w:rFonts w:ascii="Arial" w:hAnsi="Arial" w:cs="Arial"/>
          <w:color w:val="000000"/>
          <w:shd w:val="clear" w:color="auto" w:fill="FFFFFF"/>
        </w:rPr>
        <w:lastRenderedPageBreak/>
        <w:t xml:space="preserve">fazenda; do armazenamento, processamento e distribuição dos produtos agrícolas e </w:t>
      </w:r>
      <w:r>
        <w:rPr>
          <w:rFonts w:ascii="Arial" w:hAnsi="Arial" w:cs="Arial"/>
          <w:color w:val="000000"/>
          <w:shd w:val="clear" w:color="auto" w:fill="FFFFFF"/>
        </w:rPr>
        <w:t>itens produzidos a partir deles”</w:t>
      </w:r>
      <w:r>
        <w:rPr>
          <w:rFonts w:ascii="Arial" w:hAnsi="Arial" w:cs="Arial"/>
          <w:color w:val="000000"/>
          <w:shd w:val="clear" w:color="auto" w:fill="FFFFFF"/>
        </w:rPr>
        <w:t>.</w:t>
      </w:r>
    </w:p>
    <w:p w:rsidR="00AF1327" w:rsidRDefault="00AF1327" w:rsidP="00167F02">
      <w:pPr>
        <w:spacing w:line="360" w:lineRule="auto"/>
        <w:ind w:firstLine="567"/>
        <w:jc w:val="both"/>
        <w:rPr>
          <w:rFonts w:ascii="Arial" w:hAnsi="Arial" w:cs="Arial"/>
          <w:color w:val="000000"/>
          <w:shd w:val="clear" w:color="auto" w:fill="FFFFFF"/>
        </w:rPr>
      </w:pPr>
      <w:r>
        <w:rPr>
          <w:rFonts w:ascii="Arial" w:hAnsi="Arial" w:cs="Arial"/>
          <w:color w:val="000000"/>
          <w:shd w:val="clear" w:color="auto" w:fill="FFFFFF"/>
        </w:rPr>
        <w:t>De acordo com Vilarinho (2</w:t>
      </w:r>
      <w:r w:rsidR="00720725">
        <w:rPr>
          <w:rFonts w:ascii="Arial" w:hAnsi="Arial" w:cs="Arial"/>
          <w:color w:val="000000"/>
          <w:shd w:val="clear" w:color="auto" w:fill="FFFFFF"/>
        </w:rPr>
        <w:t>0</w:t>
      </w:r>
      <w:r>
        <w:rPr>
          <w:rFonts w:ascii="Arial" w:hAnsi="Arial" w:cs="Arial"/>
          <w:color w:val="000000"/>
          <w:shd w:val="clear" w:color="auto" w:fill="FFFFFF"/>
        </w:rPr>
        <w:t xml:space="preserve">06), </w:t>
      </w:r>
      <w:r>
        <w:rPr>
          <w:rFonts w:ascii="Arial" w:hAnsi="Arial" w:cs="Arial"/>
          <w:color w:val="000000"/>
          <w:shd w:val="clear" w:color="auto" w:fill="FFFFFF"/>
        </w:rPr>
        <w:t>produtos oriundos do complexo de soja, carnes e derivados de animais, açúcar e álcool, madeira (papel, celulose e outros), café, chá, fumo, tabaco, algodão e fibras têxteis vegetais, frutas e derivados, hortaliças, cereais e derivados e a borracha natural são itens importantes da pauta de exportação brasileira.</w:t>
      </w:r>
      <w:r>
        <w:rPr>
          <w:rFonts w:ascii="Arial" w:hAnsi="Arial" w:cs="Arial"/>
          <w:color w:val="000000"/>
          <w:shd w:val="clear" w:color="auto" w:fill="FFFFFF"/>
        </w:rPr>
        <w:t xml:space="preserve"> Para o autor, a</w:t>
      </w:r>
      <w:r>
        <w:rPr>
          <w:rFonts w:ascii="Arial" w:hAnsi="Arial" w:cs="Arial"/>
          <w:color w:val="000000"/>
          <w:shd w:val="clear" w:color="auto" w:fill="FFFFFF"/>
        </w:rPr>
        <w:t xml:space="preserve"> evolução da composição do Complexo do Agronegócio confirma que as cadeias do agronegócio adicionam valor às matérias-primas agrícolas onde o setor de armazenamento, processamento e distribuição final constituem o vetor de maior propulsão no valor da produção vendida ao consumidor, consolidado na forte rede de interligação entre a agricultura e a indústria.</w:t>
      </w:r>
    </w:p>
    <w:p w:rsidR="002450A1" w:rsidRDefault="00B0139B" w:rsidP="00167F02">
      <w:pPr>
        <w:spacing w:line="360" w:lineRule="auto"/>
        <w:ind w:firstLine="567"/>
        <w:jc w:val="both"/>
        <w:rPr>
          <w:rFonts w:ascii="Arial" w:hAnsi="Arial" w:cs="Arial"/>
          <w:color w:val="000000"/>
          <w:shd w:val="clear" w:color="auto" w:fill="FFFFFF"/>
        </w:rPr>
      </w:pPr>
      <w:r>
        <w:rPr>
          <w:rFonts w:ascii="Arial" w:hAnsi="Arial" w:cs="Arial"/>
          <w:color w:val="000000"/>
          <w:shd w:val="clear" w:color="auto" w:fill="FFFFFF"/>
        </w:rPr>
        <w:t>S</w:t>
      </w:r>
      <w:r>
        <w:rPr>
          <w:rFonts w:ascii="Arial" w:hAnsi="Arial" w:cs="Arial"/>
          <w:color w:val="000000"/>
          <w:shd w:val="clear" w:color="auto" w:fill="FFFFFF"/>
        </w:rPr>
        <w:t xml:space="preserve">egundo a Confederação Nacional da Agricultura </w:t>
      </w:r>
      <w:r>
        <w:rPr>
          <w:rFonts w:ascii="Arial" w:hAnsi="Arial" w:cs="Arial"/>
          <w:color w:val="000000"/>
          <w:shd w:val="clear" w:color="auto" w:fill="FFFFFF"/>
        </w:rPr>
        <w:t>–</w:t>
      </w:r>
      <w:r>
        <w:rPr>
          <w:rFonts w:ascii="Arial" w:hAnsi="Arial" w:cs="Arial"/>
          <w:color w:val="000000"/>
          <w:shd w:val="clear" w:color="auto" w:fill="FFFFFF"/>
        </w:rPr>
        <w:t xml:space="preserve"> CNA</w:t>
      </w:r>
      <w:r>
        <w:rPr>
          <w:rFonts w:ascii="Arial" w:hAnsi="Arial" w:cs="Arial"/>
          <w:color w:val="000000"/>
          <w:shd w:val="clear" w:color="auto" w:fill="FFFFFF"/>
        </w:rPr>
        <w:t>, o</w:t>
      </w:r>
      <w:r w:rsidR="002450A1">
        <w:rPr>
          <w:rFonts w:ascii="Arial" w:hAnsi="Arial" w:cs="Arial"/>
          <w:color w:val="000000"/>
          <w:shd w:val="clear" w:color="auto" w:fill="FFFFFF"/>
        </w:rPr>
        <w:t xml:space="preserve"> agronegócio é o maior negócio mundial e brasileiro. No mundo, representa a geração de U$ 6,5 trilhões/ano e, no Brasil, em torno de R$ 350 bilhões, ou 26% do PIB </w:t>
      </w:r>
      <w:r>
        <w:rPr>
          <w:rFonts w:ascii="Arial" w:hAnsi="Arial" w:cs="Arial"/>
          <w:color w:val="000000"/>
          <w:shd w:val="clear" w:color="auto" w:fill="FFFFFF"/>
        </w:rPr>
        <w:t>(dados de 2002</w:t>
      </w:r>
      <w:r w:rsidR="002450A1">
        <w:rPr>
          <w:rFonts w:ascii="Arial" w:hAnsi="Arial" w:cs="Arial"/>
          <w:color w:val="000000"/>
          <w:shd w:val="clear" w:color="auto" w:fill="FFFFFF"/>
        </w:rPr>
        <w:t xml:space="preserve">). A maior parte deste montante refere-se a negócios fora das porteiras, abrangendo o suprimento de insumos, o beneficiamento/processamento das matérias-primas e a distribuição dos produtos. </w:t>
      </w:r>
      <w:r>
        <w:rPr>
          <w:rFonts w:ascii="Arial" w:hAnsi="Arial" w:cs="Arial"/>
          <w:color w:val="000000"/>
          <w:shd w:val="clear" w:color="auto" w:fill="FFFFFF"/>
        </w:rPr>
        <w:t xml:space="preserve">Para </w:t>
      </w:r>
      <w:proofErr w:type="spellStart"/>
      <w:r>
        <w:rPr>
          <w:rFonts w:ascii="Arial" w:hAnsi="Arial" w:cs="Arial"/>
          <w:color w:val="000000"/>
          <w:shd w:val="clear" w:color="auto" w:fill="FFFFFF"/>
        </w:rPr>
        <w:t>Stefanelo</w:t>
      </w:r>
      <w:proofErr w:type="spellEnd"/>
      <w:r>
        <w:rPr>
          <w:rFonts w:ascii="Arial" w:hAnsi="Arial" w:cs="Arial"/>
          <w:color w:val="000000"/>
          <w:shd w:val="clear" w:color="auto" w:fill="FFFFFF"/>
        </w:rPr>
        <w:t xml:space="preserve"> (</w:t>
      </w:r>
      <w:r w:rsidR="002450A1">
        <w:rPr>
          <w:rFonts w:ascii="Arial" w:hAnsi="Arial" w:cs="Arial"/>
          <w:color w:val="000000"/>
          <w:shd w:val="clear" w:color="auto" w:fill="FFFFFF"/>
        </w:rPr>
        <w:t>2002)</w:t>
      </w:r>
      <w:r>
        <w:rPr>
          <w:rFonts w:ascii="Arial" w:hAnsi="Arial" w:cs="Arial"/>
          <w:color w:val="000000"/>
          <w:shd w:val="clear" w:color="auto" w:fill="FFFFFF"/>
        </w:rPr>
        <w:t>, e</w:t>
      </w:r>
      <w:r w:rsidR="002450A1">
        <w:rPr>
          <w:rFonts w:ascii="Arial" w:hAnsi="Arial" w:cs="Arial"/>
          <w:color w:val="000000"/>
          <w:shd w:val="clear" w:color="auto" w:fill="FFFFFF"/>
        </w:rPr>
        <w:t>stes são pontos que reforçam a importância do agronegócio no Brasil, além de sua grande competitividade, utilização de alta tecnologia e gerador de empregos e riquezas para o país.</w:t>
      </w:r>
    </w:p>
    <w:p w:rsidR="0016008A" w:rsidRDefault="002450A1" w:rsidP="00167F02">
      <w:pPr>
        <w:spacing w:line="360" w:lineRule="auto"/>
        <w:ind w:firstLine="567"/>
        <w:jc w:val="both"/>
        <w:rPr>
          <w:rFonts w:ascii="Arial" w:hAnsi="Arial" w:cs="Arial"/>
          <w:color w:val="000000"/>
          <w:shd w:val="clear" w:color="auto" w:fill="FFFFFF"/>
        </w:rPr>
      </w:pPr>
      <w:r>
        <w:rPr>
          <w:rFonts w:ascii="Arial" w:hAnsi="Arial" w:cs="Arial"/>
          <w:color w:val="000000"/>
          <w:shd w:val="clear" w:color="auto" w:fill="FFFFFF"/>
        </w:rPr>
        <w:t xml:space="preserve">O agronegócio como um todo envolve mais de 1/3 do PIB brasileiro. Mesmo reconhecendo-se os benefícios da transformação de uma sociedade agrária para uma industrial-urbana, não se pode esquecer que esta tem capacidade limitada de absorver mão-de-obra. Principalmente em regiões menos desenvolvidas, os setores da agricultura, da </w:t>
      </w:r>
      <w:proofErr w:type="spellStart"/>
      <w:r>
        <w:rPr>
          <w:rFonts w:ascii="Arial" w:hAnsi="Arial" w:cs="Arial"/>
          <w:color w:val="000000"/>
          <w:shd w:val="clear" w:color="auto" w:fill="FFFFFF"/>
        </w:rPr>
        <w:t>agroindustrialização</w:t>
      </w:r>
      <w:proofErr w:type="spellEnd"/>
      <w:r>
        <w:rPr>
          <w:rFonts w:ascii="Arial" w:hAnsi="Arial" w:cs="Arial"/>
          <w:color w:val="000000"/>
          <w:shd w:val="clear" w:color="auto" w:fill="FFFFFF"/>
        </w:rPr>
        <w:t xml:space="preserve"> e de áreas </w:t>
      </w:r>
      <w:r w:rsidR="0016008A">
        <w:rPr>
          <w:rFonts w:ascii="Arial" w:hAnsi="Arial" w:cs="Arial"/>
          <w:color w:val="000000"/>
          <w:shd w:val="clear" w:color="auto" w:fill="FFFFFF"/>
        </w:rPr>
        <w:t>c</w:t>
      </w:r>
      <w:r w:rsidR="0016008A">
        <w:rPr>
          <w:rFonts w:ascii="Arial" w:hAnsi="Arial" w:cs="Arial"/>
          <w:color w:val="000000"/>
          <w:shd w:val="clear" w:color="auto" w:fill="FFFFFF"/>
        </w:rPr>
        <w:t>orrelatas serão importantes para o crescimento da renda e do emprego. (RENAI, 2007).</w:t>
      </w:r>
    </w:p>
    <w:p w:rsidR="0016008A" w:rsidRPr="00326B79" w:rsidRDefault="00167F02" w:rsidP="00167F02">
      <w:pPr>
        <w:spacing w:line="360" w:lineRule="auto"/>
        <w:ind w:firstLine="567"/>
        <w:jc w:val="both"/>
        <w:rPr>
          <w:rFonts w:ascii="Arial" w:hAnsi="Arial" w:cs="Arial"/>
        </w:rPr>
      </w:pPr>
      <w:r w:rsidRPr="00326B79">
        <w:rPr>
          <w:rFonts w:ascii="Arial" w:hAnsi="Arial" w:cs="Arial"/>
        </w:rPr>
        <w:t xml:space="preserve">Veiga </w:t>
      </w:r>
      <w:proofErr w:type="gramStart"/>
      <w:r w:rsidR="0016008A" w:rsidRPr="00326B79">
        <w:rPr>
          <w:rFonts w:ascii="Arial" w:hAnsi="Arial" w:cs="Arial"/>
        </w:rPr>
        <w:t>et</w:t>
      </w:r>
      <w:proofErr w:type="gramEnd"/>
      <w:r w:rsidR="0016008A" w:rsidRPr="00326B79">
        <w:rPr>
          <w:rFonts w:ascii="Arial" w:hAnsi="Arial" w:cs="Arial"/>
        </w:rPr>
        <w:t xml:space="preserve"> al. (2001), </w:t>
      </w:r>
      <w:r w:rsidR="0016008A">
        <w:rPr>
          <w:rFonts w:ascii="Arial" w:hAnsi="Arial" w:cs="Arial"/>
        </w:rPr>
        <w:t>ressaltam</w:t>
      </w:r>
      <w:r w:rsidR="0016008A" w:rsidRPr="00326B79">
        <w:rPr>
          <w:rFonts w:ascii="Arial" w:hAnsi="Arial" w:cs="Arial"/>
        </w:rPr>
        <w:t xml:space="preserve"> que nos sete censos agropecuários realizados no Brasil desde 1950, a participação dos agricultores que têm menos de 100 hectares nunca se distanciou de 90% do total de estabelecimentos, e sempre lhes coube 20% da área, o que indica uma permanência extremamente duradoura desses produtores de pequeno porte por toda a segunda metade do século. Essa permanência no cenário agrícola, apesar dos constantes desafios, mostra que esse segmento está em constante mudança, compondo estratégias de sobrevivência e reprodução, as quais dependem do meio no qual os agricultores familiares estão inseridos.</w:t>
      </w:r>
    </w:p>
    <w:p w:rsidR="00945111" w:rsidRDefault="00326B79" w:rsidP="00167F02">
      <w:pPr>
        <w:spacing w:line="360" w:lineRule="auto"/>
        <w:ind w:firstLine="567"/>
        <w:jc w:val="both"/>
        <w:rPr>
          <w:rFonts w:ascii="Arial" w:hAnsi="Arial" w:cs="Arial"/>
        </w:rPr>
      </w:pPr>
      <w:r>
        <w:rPr>
          <w:rFonts w:ascii="Arial" w:hAnsi="Arial" w:cs="Arial"/>
        </w:rPr>
        <w:t xml:space="preserve">De acordo com </w:t>
      </w:r>
      <w:r w:rsidRPr="00326B79">
        <w:rPr>
          <w:rFonts w:ascii="Arial" w:hAnsi="Arial" w:cs="Arial"/>
        </w:rPr>
        <w:t xml:space="preserve">Gonçalves e Souza (2005), a definição de propriedade familiar consta no inciso II do artigo 4º do Estatuto da Terra, estabelecido pela Lei nº 4.504 de 30 de novembro de 1964, com a seguinte redação: </w:t>
      </w:r>
      <w:proofErr w:type="gramStart"/>
      <w:r w:rsidRPr="00326B79">
        <w:rPr>
          <w:rFonts w:ascii="Arial" w:hAnsi="Arial" w:cs="Arial"/>
        </w:rPr>
        <w:t xml:space="preserve">“ </w:t>
      </w:r>
      <w:proofErr w:type="gramEnd"/>
      <w:r w:rsidRPr="00326B79">
        <w:rPr>
          <w:rFonts w:ascii="Arial" w:hAnsi="Arial" w:cs="Arial"/>
        </w:rPr>
        <w:t xml:space="preserve">propriedade familiar : o imóvel que, direta e pessoalmente explorado pelo agricultor e sua família, lhes absorva toda a força de trabalho, garantindo-lhes a subsistência e o progresso social e econômico, com área máxima fixada para cada região e tipo de exploração, e eventualmente trabalhado com a ajuda de terceiros” e na definição da área máxima, a lei nº 8629, de 25 de fevereiro de 1993, estabelece como pequena os imóveis </w:t>
      </w:r>
      <w:r w:rsidRPr="00326B79">
        <w:rPr>
          <w:rFonts w:ascii="Arial" w:hAnsi="Arial" w:cs="Arial"/>
        </w:rPr>
        <w:lastRenderedPageBreak/>
        <w:t>rurais com até 4 módulos fiscais e, como média propriedade, aqueles entre 4 e 15 módulos fiscais.</w:t>
      </w:r>
    </w:p>
    <w:p w:rsidR="00945111" w:rsidRPr="00945111" w:rsidRDefault="00945111" w:rsidP="00167F02">
      <w:pPr>
        <w:spacing w:line="360" w:lineRule="auto"/>
        <w:ind w:firstLine="567"/>
        <w:jc w:val="both"/>
        <w:rPr>
          <w:rFonts w:ascii="Arial" w:hAnsi="Arial" w:cs="Arial"/>
        </w:rPr>
      </w:pPr>
      <w:r>
        <w:rPr>
          <w:rFonts w:ascii="Arial" w:hAnsi="Arial" w:cs="Arial"/>
        </w:rPr>
        <w:t>S</w:t>
      </w:r>
      <w:r w:rsidRPr="00945111">
        <w:rPr>
          <w:rFonts w:ascii="Arial" w:hAnsi="Arial" w:cs="Arial"/>
        </w:rPr>
        <w:t>egundo o Manual Operacional do Crédito Rural Pronaf (2002),</w:t>
      </w:r>
      <w:r w:rsidRPr="00945111">
        <w:rPr>
          <w:rFonts w:ascii="Arial" w:hAnsi="Arial" w:cs="Arial"/>
        </w:rPr>
        <w:t xml:space="preserve"> </w:t>
      </w:r>
      <w:r>
        <w:rPr>
          <w:rFonts w:ascii="Arial" w:hAnsi="Arial" w:cs="Arial"/>
        </w:rPr>
        <w:t>o</w:t>
      </w:r>
      <w:r w:rsidRPr="00945111">
        <w:rPr>
          <w:rFonts w:ascii="Arial" w:hAnsi="Arial" w:cs="Arial"/>
        </w:rPr>
        <w:t>s agricultores familiares são definidos como sendo os produtores rurais que atendem aos seguintes requisitos:</w:t>
      </w:r>
      <w:r>
        <w:rPr>
          <w:rFonts w:ascii="Arial" w:hAnsi="Arial" w:cs="Arial"/>
        </w:rPr>
        <w:t xml:space="preserve"> s</w:t>
      </w:r>
      <w:r w:rsidRPr="00945111">
        <w:rPr>
          <w:rFonts w:ascii="Arial" w:hAnsi="Arial" w:cs="Arial"/>
        </w:rPr>
        <w:t>ejam proprietários, posseiros, arrendatários, parceiros ou concessionários da Reforma Agrária;</w:t>
      </w:r>
      <w:r>
        <w:rPr>
          <w:rFonts w:ascii="Arial" w:hAnsi="Arial" w:cs="Arial"/>
        </w:rPr>
        <w:t xml:space="preserve"> r</w:t>
      </w:r>
      <w:r w:rsidRPr="00945111">
        <w:rPr>
          <w:rFonts w:ascii="Arial" w:hAnsi="Arial" w:cs="Arial"/>
        </w:rPr>
        <w:t>esidam na propriedade ou em local próximo;</w:t>
      </w:r>
      <w:r>
        <w:rPr>
          <w:rFonts w:ascii="Arial" w:hAnsi="Arial" w:cs="Arial"/>
        </w:rPr>
        <w:t xml:space="preserve"> d</w:t>
      </w:r>
      <w:r w:rsidRPr="00945111">
        <w:rPr>
          <w:rFonts w:ascii="Arial" w:hAnsi="Arial" w:cs="Arial"/>
        </w:rPr>
        <w:t xml:space="preserve">etenham, sob qualquer forma, no máximo </w:t>
      </w:r>
      <w:proofErr w:type="gramStart"/>
      <w:r w:rsidRPr="00945111">
        <w:rPr>
          <w:rFonts w:ascii="Arial" w:hAnsi="Arial" w:cs="Arial"/>
        </w:rPr>
        <w:t>4</w:t>
      </w:r>
      <w:proofErr w:type="gramEnd"/>
      <w:r w:rsidRPr="00945111">
        <w:rPr>
          <w:rFonts w:ascii="Arial" w:hAnsi="Arial" w:cs="Arial"/>
        </w:rPr>
        <w:t xml:space="preserve"> (quatro) módulos fiscais de terra,</w:t>
      </w:r>
      <w:r w:rsidR="00B0139B">
        <w:rPr>
          <w:rFonts w:ascii="Arial" w:hAnsi="Arial" w:cs="Arial"/>
        </w:rPr>
        <w:t xml:space="preserve"> </w:t>
      </w:r>
      <w:r w:rsidRPr="00945111">
        <w:rPr>
          <w:rFonts w:ascii="Arial" w:hAnsi="Arial" w:cs="Arial"/>
        </w:rPr>
        <w:t>quantificados conforme a legislação em vigor;</w:t>
      </w:r>
      <w:r>
        <w:rPr>
          <w:rFonts w:ascii="Arial" w:hAnsi="Arial" w:cs="Arial"/>
        </w:rPr>
        <w:t xml:space="preserve"> n</w:t>
      </w:r>
      <w:r w:rsidRPr="00945111">
        <w:rPr>
          <w:rFonts w:ascii="Arial" w:hAnsi="Arial" w:cs="Arial"/>
        </w:rPr>
        <w:t>o mínimo 70% (oitenta por cento) da renda bruta familiar devem ser provenientes da exploração agropecuária ou não agropecuária do estabelecimento;</w:t>
      </w:r>
      <w:r>
        <w:rPr>
          <w:rFonts w:ascii="Arial" w:hAnsi="Arial" w:cs="Arial"/>
        </w:rPr>
        <w:t xml:space="preserve"> e a</w:t>
      </w:r>
      <w:r w:rsidRPr="00945111">
        <w:rPr>
          <w:rFonts w:ascii="Arial" w:hAnsi="Arial" w:cs="Arial"/>
        </w:rPr>
        <w:t xml:space="preserve"> base da exploração do estabelecimento deve ser o trabalho familiar.</w:t>
      </w:r>
    </w:p>
    <w:p w:rsidR="00945111" w:rsidRPr="00945111" w:rsidRDefault="00945111" w:rsidP="00167F02">
      <w:pPr>
        <w:spacing w:line="360" w:lineRule="auto"/>
        <w:ind w:firstLine="567"/>
        <w:jc w:val="both"/>
        <w:rPr>
          <w:rFonts w:ascii="Arial" w:hAnsi="Arial" w:cs="Arial"/>
          <w:sz w:val="27"/>
          <w:szCs w:val="27"/>
        </w:rPr>
      </w:pPr>
      <w:proofErr w:type="spellStart"/>
      <w:r>
        <w:rPr>
          <w:rFonts w:ascii="Arial" w:hAnsi="Arial" w:cs="Arial"/>
        </w:rPr>
        <w:t>A</w:t>
      </w:r>
      <w:r w:rsidRPr="00945111">
        <w:rPr>
          <w:rFonts w:ascii="Arial" w:hAnsi="Arial" w:cs="Arial"/>
        </w:rPr>
        <w:t>bramovay</w:t>
      </w:r>
      <w:proofErr w:type="spellEnd"/>
      <w:r>
        <w:rPr>
          <w:rFonts w:ascii="Arial" w:hAnsi="Arial" w:cs="Arial"/>
        </w:rPr>
        <w:t xml:space="preserve"> (1992)</w:t>
      </w:r>
      <w:r w:rsidRPr="00945111">
        <w:rPr>
          <w:rFonts w:ascii="Arial" w:hAnsi="Arial" w:cs="Arial"/>
        </w:rPr>
        <w:t xml:space="preserve"> diferencia a agricultura familiar no interior das sociedades capitalistas mais desenvolvidas como uma forma completamente diferente do campesinato clássico. Enquanto que os camponeses podiam ser entendidos como “sociedades parciais com uma cultura parcial, integrados de modo incompleto a mercados imperfeitos”, representando um modo de vida caracterizado pela personalização dos vínculos sociais e pela ausência de uma contabilidade nas operações produtivas. Já a agricultura familiar, segundo o mesmo autor, [...] é altamente integrada ao mercado, capaz de incorporar os principais avanços técnicos e de responder as políticas governamentais [...] Aquilo que era antes de tudo um modo de vida converteu-se numa profissão, numa forma de trabalho (ABRAMOVAY, 1992, p.22-127).</w:t>
      </w:r>
    </w:p>
    <w:p w:rsidR="00945111" w:rsidRPr="00945111" w:rsidRDefault="00945111" w:rsidP="00167F02">
      <w:pPr>
        <w:spacing w:line="360" w:lineRule="auto"/>
        <w:ind w:firstLine="567"/>
        <w:jc w:val="both"/>
        <w:rPr>
          <w:rFonts w:ascii="Arial" w:hAnsi="Arial" w:cs="Arial"/>
          <w:sz w:val="27"/>
          <w:szCs w:val="27"/>
        </w:rPr>
      </w:pPr>
      <w:r w:rsidRPr="00945111">
        <w:rPr>
          <w:rFonts w:ascii="Arial" w:hAnsi="Arial" w:cs="Arial"/>
        </w:rPr>
        <w:t xml:space="preserve">Para esse autor, em lhe sendo favorável esse ambiente e com apoio do Estado, a agricultura familiar preencherá uma série de requisitos, dentre os quais </w:t>
      </w:r>
      <w:proofErr w:type="gramStart"/>
      <w:r w:rsidRPr="00945111">
        <w:rPr>
          <w:rFonts w:ascii="Arial" w:hAnsi="Arial" w:cs="Arial"/>
        </w:rPr>
        <w:t>fornecer</w:t>
      </w:r>
      <w:proofErr w:type="gramEnd"/>
      <w:r w:rsidRPr="00945111">
        <w:rPr>
          <w:rFonts w:ascii="Arial" w:hAnsi="Arial" w:cs="Arial"/>
        </w:rPr>
        <w:t xml:space="preserve"> alimentos baratos e de boa qualidade para a sociedade e reproduzir-se como uma forma social engajada nos mecanismos de desenvolvimento rural. O pensamento de </w:t>
      </w:r>
      <w:proofErr w:type="spellStart"/>
      <w:r w:rsidRPr="00945111">
        <w:rPr>
          <w:rFonts w:ascii="Arial" w:hAnsi="Arial" w:cs="Arial"/>
        </w:rPr>
        <w:t>Abramovay</w:t>
      </w:r>
      <w:proofErr w:type="spellEnd"/>
      <w:r w:rsidRPr="00945111">
        <w:rPr>
          <w:rFonts w:ascii="Arial" w:hAnsi="Arial" w:cs="Arial"/>
        </w:rPr>
        <w:t xml:space="preserve"> fica claramente evidenciado quando expressa que “Se quisermos combater a pobreza, precisamos, em primeiro lugar, permitir a elevação da capacidade de investimento dos mais pobres. Além disso, é necessário melhorar sua inserção em mercados que sejam cada vez mais dinâmicos e competitivos”.</w:t>
      </w:r>
    </w:p>
    <w:p w:rsidR="00945111" w:rsidRDefault="00945111" w:rsidP="00167F02">
      <w:pPr>
        <w:spacing w:line="360" w:lineRule="auto"/>
        <w:ind w:firstLine="567"/>
        <w:jc w:val="both"/>
        <w:rPr>
          <w:rFonts w:ascii="Arial" w:hAnsi="Arial" w:cs="Arial"/>
        </w:rPr>
      </w:pPr>
      <w:r w:rsidRPr="00945111">
        <w:rPr>
          <w:rFonts w:ascii="Arial" w:hAnsi="Arial" w:cs="Arial"/>
        </w:rPr>
        <w:t>Assim, existe uma visão onde o agricultor familiar está fortemente inserido nos mercados e procura sempre adotar novas tecnologias. Em contraposição, há uma corrente que tem sido caracterizada como “</w:t>
      </w:r>
      <w:proofErr w:type="spellStart"/>
      <w:proofErr w:type="gramStart"/>
      <w:r w:rsidRPr="00945111">
        <w:rPr>
          <w:rFonts w:ascii="Arial" w:hAnsi="Arial" w:cs="Arial"/>
        </w:rPr>
        <w:t>neo-populismo</w:t>
      </w:r>
      <w:proofErr w:type="spellEnd"/>
      <w:proofErr w:type="gramEnd"/>
      <w:r w:rsidRPr="00945111">
        <w:rPr>
          <w:rFonts w:ascii="Arial" w:hAnsi="Arial" w:cs="Arial"/>
        </w:rPr>
        <w:t xml:space="preserve"> ecológico”, por resgatar alguns conceitos do pensamento de Alexander </w:t>
      </w:r>
      <w:proofErr w:type="spellStart"/>
      <w:r w:rsidRPr="00945111">
        <w:rPr>
          <w:rFonts w:ascii="Arial" w:hAnsi="Arial" w:cs="Arial"/>
        </w:rPr>
        <w:t>Chayanov</w:t>
      </w:r>
      <w:proofErr w:type="spellEnd"/>
      <w:r w:rsidRPr="00945111">
        <w:rPr>
          <w:rFonts w:ascii="Arial" w:hAnsi="Arial" w:cs="Arial"/>
        </w:rPr>
        <w:t xml:space="preserve">, que destaca a autonomia relativa do pequeno produtor, enfatizando a utilização de recursos locais, a diversificação da produção e outros atributos que apontam para a </w:t>
      </w:r>
      <w:proofErr w:type="spellStart"/>
      <w:r w:rsidRPr="00945111">
        <w:rPr>
          <w:rFonts w:ascii="Arial" w:hAnsi="Arial" w:cs="Arial"/>
        </w:rPr>
        <w:t>sustetabilidade</w:t>
      </w:r>
      <w:proofErr w:type="spellEnd"/>
      <w:r w:rsidRPr="00945111">
        <w:rPr>
          <w:rFonts w:ascii="Arial" w:hAnsi="Arial" w:cs="Arial"/>
        </w:rPr>
        <w:t xml:space="preserve"> dos sistemas de produção tradicionais. Nessa visão, a sobrevivência do agricultor familiar teria muito mais de resistência do que de funcionalidade à lógica da expansão capitalista.</w:t>
      </w:r>
    </w:p>
    <w:p w:rsidR="00945111" w:rsidRDefault="00945111" w:rsidP="00167F02">
      <w:pPr>
        <w:spacing w:line="360" w:lineRule="auto"/>
        <w:ind w:firstLine="567"/>
        <w:rPr>
          <w:rFonts w:ascii="Arial" w:hAnsi="Arial" w:cs="Arial"/>
          <w:b/>
          <w:sz w:val="24"/>
        </w:rPr>
      </w:pPr>
    </w:p>
    <w:p w:rsidR="00D54359" w:rsidRPr="00D54359" w:rsidRDefault="00D54359" w:rsidP="000660EE">
      <w:pPr>
        <w:spacing w:line="360" w:lineRule="auto"/>
        <w:rPr>
          <w:rFonts w:ascii="Arial" w:hAnsi="Arial" w:cs="Arial"/>
          <w:b/>
          <w:sz w:val="24"/>
        </w:rPr>
      </w:pPr>
      <w:r w:rsidRPr="00D54359">
        <w:rPr>
          <w:rFonts w:ascii="Arial" w:hAnsi="Arial" w:cs="Arial"/>
          <w:b/>
          <w:sz w:val="24"/>
        </w:rPr>
        <w:t>Caracterização econômica da região</w:t>
      </w:r>
    </w:p>
    <w:p w:rsidR="00D54359" w:rsidRPr="000660EE" w:rsidRDefault="00D54359" w:rsidP="000660EE">
      <w:pPr>
        <w:spacing w:line="360" w:lineRule="auto"/>
        <w:rPr>
          <w:rFonts w:ascii="Arial" w:hAnsi="Arial" w:cs="Arial"/>
        </w:rPr>
      </w:pPr>
    </w:p>
    <w:p w:rsidR="000660EE" w:rsidRPr="000660EE" w:rsidRDefault="000660EE" w:rsidP="00B0139B">
      <w:pPr>
        <w:spacing w:line="360" w:lineRule="auto"/>
        <w:ind w:firstLine="567"/>
        <w:jc w:val="both"/>
        <w:rPr>
          <w:rFonts w:ascii="Arial" w:hAnsi="Arial" w:cs="Arial"/>
        </w:rPr>
      </w:pPr>
      <w:r w:rsidRPr="000660EE">
        <w:rPr>
          <w:rFonts w:ascii="Arial" w:hAnsi="Arial" w:cs="Arial"/>
        </w:rPr>
        <w:t xml:space="preserve">Caracterizando-se como a terceira área de concentração da população paulista, a Região Administrativa - RA de Sorocaba vem apresentando, nos últimos anos, um intenso </w:t>
      </w:r>
      <w:r w:rsidRPr="000660EE">
        <w:rPr>
          <w:rFonts w:ascii="Arial" w:hAnsi="Arial" w:cs="Arial"/>
        </w:rPr>
        <w:lastRenderedPageBreak/>
        <w:t>crescimento populacional. Entre 2000 e 2002, verificou-se uma taxa de crescimento de 2,0% ao ano, a maior entre as regiões paulistas. Em 2002, a população projetada correspondia a quase 2,6 milhões de habitantes, o que representava 6,7% do total do Estado.</w:t>
      </w:r>
    </w:p>
    <w:p w:rsidR="000660EE" w:rsidRPr="000660EE" w:rsidRDefault="000660EE" w:rsidP="00B0139B">
      <w:pPr>
        <w:spacing w:line="360" w:lineRule="auto"/>
        <w:ind w:firstLine="567"/>
        <w:jc w:val="both"/>
        <w:rPr>
          <w:rFonts w:ascii="Arial" w:hAnsi="Arial" w:cs="Arial"/>
        </w:rPr>
      </w:pPr>
      <w:r w:rsidRPr="000660EE">
        <w:rPr>
          <w:rFonts w:ascii="Arial" w:hAnsi="Arial" w:cs="Arial"/>
        </w:rPr>
        <w:t xml:space="preserve">Praticamente 84% da população regional </w:t>
      </w:r>
      <w:proofErr w:type="gramStart"/>
      <w:r w:rsidRPr="000660EE">
        <w:rPr>
          <w:rFonts w:ascii="Arial" w:hAnsi="Arial" w:cs="Arial"/>
        </w:rPr>
        <w:t>residia</w:t>
      </w:r>
      <w:proofErr w:type="gramEnd"/>
      <w:r w:rsidRPr="000660EE">
        <w:rPr>
          <w:rFonts w:ascii="Arial" w:hAnsi="Arial" w:cs="Arial"/>
        </w:rPr>
        <w:t xml:space="preserve"> em áreas urbanas, o menor valor do Estado. Este índice oscilou de 29,2%, em Ribeirão Branco, a 98,7%, em Sorocaba.</w:t>
      </w:r>
    </w:p>
    <w:p w:rsidR="000660EE" w:rsidRPr="000660EE" w:rsidRDefault="000660EE" w:rsidP="00B0139B">
      <w:pPr>
        <w:spacing w:line="360" w:lineRule="auto"/>
        <w:ind w:firstLine="567"/>
        <w:jc w:val="both"/>
        <w:rPr>
          <w:rFonts w:ascii="Arial" w:hAnsi="Arial" w:cs="Arial"/>
        </w:rPr>
      </w:pPr>
      <w:r w:rsidRPr="000660EE">
        <w:rPr>
          <w:rFonts w:ascii="Arial" w:hAnsi="Arial" w:cs="Arial"/>
        </w:rPr>
        <w:t xml:space="preserve">Ocupando a maior área do Estado de São Paulo (16,5%), a região apresentava uma densidade demográfica de 64 hab./km2, em 2002. Entre os municípios, o menor índice pertence </w:t>
      </w:r>
      <w:proofErr w:type="gramStart"/>
      <w:r w:rsidRPr="000660EE">
        <w:rPr>
          <w:rFonts w:ascii="Arial" w:hAnsi="Arial" w:cs="Arial"/>
        </w:rPr>
        <w:t>a</w:t>
      </w:r>
      <w:proofErr w:type="gramEnd"/>
      <w:r w:rsidRPr="000660EE">
        <w:rPr>
          <w:rFonts w:ascii="Arial" w:hAnsi="Arial" w:cs="Arial"/>
        </w:rPr>
        <w:t xml:space="preserve"> </w:t>
      </w:r>
      <w:proofErr w:type="spellStart"/>
      <w:r w:rsidRPr="000660EE">
        <w:rPr>
          <w:rFonts w:ascii="Arial" w:hAnsi="Arial" w:cs="Arial"/>
        </w:rPr>
        <w:t>Iporanga</w:t>
      </w:r>
      <w:proofErr w:type="spellEnd"/>
      <w:r w:rsidRPr="000660EE">
        <w:rPr>
          <w:rFonts w:ascii="Arial" w:hAnsi="Arial" w:cs="Arial"/>
        </w:rPr>
        <w:t xml:space="preserve"> (3,6 hab./km2) e os maiores, superiores a 500 hab./km2, encontram-se em Sorocaba, Salto e Votorantim. Com um padrão distinto da maioria das regiões do Estado, a RA de Sorocaba apresenta predomínio de homens, que, em 2002, representavam a maioria da população. A razão de sexo da região é de 100,5 homens para cada 100 mulheres, a segunda maior do Estado, só perdendo para a RA de Registro.</w:t>
      </w:r>
    </w:p>
    <w:p w:rsidR="000660EE" w:rsidRPr="000660EE" w:rsidRDefault="000660EE" w:rsidP="00B0139B">
      <w:pPr>
        <w:spacing w:line="360" w:lineRule="auto"/>
        <w:ind w:firstLine="567"/>
        <w:jc w:val="both"/>
        <w:rPr>
          <w:rFonts w:ascii="Arial" w:hAnsi="Arial" w:cs="Arial"/>
        </w:rPr>
      </w:pPr>
      <w:r w:rsidRPr="000660EE">
        <w:rPr>
          <w:rFonts w:ascii="Arial" w:hAnsi="Arial" w:cs="Arial"/>
        </w:rPr>
        <w:t xml:space="preserve">A RA de Sorocaba está dividida em cinco Regiões de Governo (RG), totalizando 79 municípios. São elas: RG de Avaré; RG de Botucatu; RG de Itapeva; RG de Itapetininga; e a RG de Sorocaba. A RG de Sorocaba (RGS) é formada por 18 municípios: Alumínio, Araçariguama, Araçoiaba da Serra, Ibiúna, Iperó, Itu, Jumirim, Mairinque, Piedade, Pilar do Sul, Porto Feliz, Salto de Pirapora, Salto, São Roque, Sorocaba, </w:t>
      </w:r>
      <w:proofErr w:type="spellStart"/>
      <w:r w:rsidRPr="000660EE">
        <w:rPr>
          <w:rFonts w:ascii="Arial" w:hAnsi="Arial" w:cs="Arial"/>
        </w:rPr>
        <w:t>Tapiraí</w:t>
      </w:r>
      <w:proofErr w:type="spellEnd"/>
      <w:r w:rsidRPr="000660EE">
        <w:rPr>
          <w:rFonts w:ascii="Arial" w:hAnsi="Arial" w:cs="Arial"/>
        </w:rPr>
        <w:t xml:space="preserve">, Tietê e Votorantim. Tem em sua sede, o município de Sorocaba, seu maior polo, concentrando 20,2% da população regional. </w:t>
      </w:r>
    </w:p>
    <w:p w:rsidR="000660EE" w:rsidRPr="000660EE" w:rsidRDefault="000660EE" w:rsidP="00B0139B">
      <w:pPr>
        <w:spacing w:line="360" w:lineRule="auto"/>
        <w:ind w:firstLine="567"/>
        <w:jc w:val="both"/>
        <w:rPr>
          <w:rFonts w:ascii="Arial" w:hAnsi="Arial" w:cs="Arial"/>
        </w:rPr>
      </w:pPr>
      <w:r w:rsidRPr="000660EE">
        <w:rPr>
          <w:rFonts w:ascii="Arial" w:hAnsi="Arial" w:cs="Arial"/>
        </w:rPr>
        <w:t>A RA de Sorocaba é fortemente caracterizada por sua industrialização, uma vez que de 1996 a 2003, 87,46% dos investimentos anunciados se referiam ao setor industrial, e apenas 2,33% ao setor comercial e 8,45% no setor de serviços.</w:t>
      </w:r>
    </w:p>
    <w:p w:rsidR="000660EE" w:rsidRPr="000660EE" w:rsidRDefault="000660EE" w:rsidP="00B0139B">
      <w:pPr>
        <w:spacing w:line="360" w:lineRule="auto"/>
        <w:ind w:firstLine="567"/>
        <w:jc w:val="both"/>
        <w:rPr>
          <w:rFonts w:ascii="Arial" w:hAnsi="Arial" w:cs="Arial"/>
        </w:rPr>
      </w:pPr>
      <w:r w:rsidRPr="000660EE">
        <w:rPr>
          <w:rFonts w:ascii="Arial" w:hAnsi="Arial" w:cs="Arial"/>
        </w:rPr>
        <w:t>A favor dessa característica industrial da região pesam a proximidade com as Regiões Metropolitanas de Campinas e de São Paulo, onde existem, além da grande concentração industrial, os principais aeroportos do Estado, a sua tradição industrial histórica e a sua localização na mais bem estruturada malha viária do país.</w:t>
      </w:r>
    </w:p>
    <w:p w:rsidR="000660EE" w:rsidRPr="000660EE" w:rsidRDefault="000660EE" w:rsidP="00B0139B">
      <w:pPr>
        <w:spacing w:line="360" w:lineRule="auto"/>
        <w:ind w:firstLine="567"/>
        <w:jc w:val="both"/>
        <w:rPr>
          <w:rFonts w:ascii="Arial" w:hAnsi="Arial" w:cs="Arial"/>
        </w:rPr>
      </w:pPr>
      <w:r w:rsidRPr="000660EE">
        <w:rPr>
          <w:rFonts w:ascii="Arial" w:hAnsi="Arial" w:cs="Arial"/>
        </w:rPr>
        <w:t>Se por um lado a indústria é a principal atividade econômica da região, pelo outro ela tem apresentado pouca expressividade estadual, principalmente se considerado, além dos índices apresentados por Campinas e São José dos Campos, mas também o fato de que Sorocaba é considerada um dos polos da região macro metropolitana, onde ocorre a nova concentração socioeconômica do Estado.</w:t>
      </w:r>
    </w:p>
    <w:p w:rsidR="000660EE" w:rsidRPr="000660EE" w:rsidRDefault="000660EE" w:rsidP="00B0139B">
      <w:pPr>
        <w:spacing w:line="360" w:lineRule="auto"/>
        <w:ind w:firstLine="567"/>
        <w:jc w:val="both"/>
        <w:rPr>
          <w:rFonts w:ascii="Arial" w:hAnsi="Arial" w:cs="Arial"/>
        </w:rPr>
      </w:pPr>
      <w:r w:rsidRPr="000660EE">
        <w:rPr>
          <w:rFonts w:ascii="Arial" w:hAnsi="Arial" w:cs="Arial"/>
        </w:rPr>
        <w:t xml:space="preserve">A agricultura da RA, assim como a indústria, é diversificada e representava mais de 11% do valor produzido pelo setor, em 2001, segundo os dados do Instituto de Economia Agrícola-IEA. No EDR de Avaré são importantes as produções de carne bovina, batata e feijão, mas têm participação expressiva no Estado as produções de pêssego e trigo (20% cada). Em Botucatu predominam a cana-de-açúcar, a carne de frango e a carne bovina, enquanto Itapetininga produz principalmente batata (26% da produção estadual), carne bovina e carne de frango. Itapeva é o maior produtor estadual de tomate (sua principal cultura), mas têm grande expressividade as lavouras de feijão, milho e trigo (esta, com 32% da produção estadual). O EDR de Sorocaba, por sua vez, embora tenha a maior parcela de sua produção agropecuária </w:t>
      </w:r>
      <w:r w:rsidRPr="000660EE">
        <w:rPr>
          <w:rFonts w:ascii="Arial" w:hAnsi="Arial" w:cs="Arial"/>
        </w:rPr>
        <w:lastRenderedPageBreak/>
        <w:t>na cana-de-açúcar, carne de frango e carne bovina, detém 60% da produção de repolho do Estado, 51% da de cenoura e 35% da de beterraba, o que mostra a grande diversificação da produção agropecuária regional.</w:t>
      </w:r>
    </w:p>
    <w:p w:rsidR="000660EE" w:rsidRPr="000660EE" w:rsidRDefault="000660EE" w:rsidP="00B0139B">
      <w:pPr>
        <w:spacing w:line="360" w:lineRule="auto"/>
        <w:ind w:firstLine="567"/>
        <w:jc w:val="both"/>
        <w:rPr>
          <w:rFonts w:ascii="Arial" w:hAnsi="Arial" w:cs="Arial"/>
        </w:rPr>
      </w:pPr>
      <w:r w:rsidRPr="000660EE">
        <w:rPr>
          <w:rFonts w:ascii="Arial" w:hAnsi="Arial" w:cs="Arial"/>
        </w:rPr>
        <w:t xml:space="preserve">Atualmente a região Administrativa de Sorocaba é caracterizada por uma mescla de um pequeno número de agricultores patronais e um razoável número de agricultores familiares. (A agricultura familiar, praticada em 85% dos estabelecimentos agrícolas do país, caracteriza-se pela diversificação, tanto em produtos, quanto em sistemas de produção e tecnologia, englobando entre 60 e 80% da produção dos alimentos (vegetais e animais) consumidos pela população, além de matérias primas para diversos fins, como roupas, bebidas, artesanatos, etc.) A Companhia de Entrepostos e Armazéns de Sorocaba (CEAGESP) de Sorocaba comercializa cerca de 10 mil toneladas de alimentos por mês, entre frutas, legumes, verduras e cereais, quase todos produzidos por pequenos e médios produtores da própria região. A maior parte desses agricultores concentram-se nas cidades de Capela do Alto, Araçoiaba da Serra, Piedade e Ibiúna. Sorocaba, por sua vez, reúne uma pequena parcela dessa produção nos bairros do Ipaneminha das Pedras, Brigadeiro Tobias, Campininha, Éden, </w:t>
      </w:r>
      <w:proofErr w:type="spellStart"/>
      <w:r w:rsidRPr="000660EE">
        <w:rPr>
          <w:rFonts w:ascii="Arial" w:hAnsi="Arial" w:cs="Arial"/>
        </w:rPr>
        <w:t>Caputera</w:t>
      </w:r>
      <w:proofErr w:type="spellEnd"/>
      <w:r w:rsidRPr="000660EE">
        <w:rPr>
          <w:rFonts w:ascii="Arial" w:hAnsi="Arial" w:cs="Arial"/>
        </w:rPr>
        <w:t xml:space="preserve">, Itinga e </w:t>
      </w:r>
      <w:proofErr w:type="spellStart"/>
      <w:r w:rsidRPr="000660EE">
        <w:rPr>
          <w:rFonts w:ascii="Arial" w:hAnsi="Arial" w:cs="Arial"/>
        </w:rPr>
        <w:t>Caguaçu</w:t>
      </w:r>
      <w:proofErr w:type="spellEnd"/>
      <w:r w:rsidRPr="000660EE">
        <w:rPr>
          <w:rFonts w:ascii="Arial" w:hAnsi="Arial" w:cs="Arial"/>
        </w:rPr>
        <w:t>. Nessas regiões os agricultores criam gado de leite e produzem frutas, verduras, legumes e cereais.</w:t>
      </w:r>
    </w:p>
    <w:p w:rsidR="000660EE" w:rsidRPr="000660EE" w:rsidRDefault="000660EE" w:rsidP="00B0139B">
      <w:pPr>
        <w:spacing w:line="360" w:lineRule="auto"/>
        <w:ind w:firstLine="567"/>
        <w:jc w:val="both"/>
        <w:rPr>
          <w:rFonts w:ascii="Arial" w:hAnsi="Arial" w:cs="Arial"/>
        </w:rPr>
      </w:pPr>
      <w:r w:rsidRPr="000660EE">
        <w:rPr>
          <w:rFonts w:ascii="Arial" w:hAnsi="Arial" w:cs="Arial"/>
        </w:rPr>
        <w:t>A região reúne cerca de uma dúzia de associações e cooperativas de agricultores familiares, sendo que nove delas estão hoje articuladas na recém-criada Cooperativa Central de Produção e Abastecimento – CPRA, sediada em Sorocaba, que objetiva facilitar a comercialização dos produtos e a logística de distribuição para os mais de 1000 produtores associados.</w:t>
      </w:r>
    </w:p>
    <w:p w:rsidR="000660EE" w:rsidRPr="000660EE" w:rsidRDefault="000660EE" w:rsidP="00B0139B">
      <w:pPr>
        <w:spacing w:line="360" w:lineRule="auto"/>
        <w:ind w:firstLine="567"/>
        <w:jc w:val="both"/>
        <w:rPr>
          <w:rFonts w:ascii="Arial" w:hAnsi="Arial" w:cs="Arial"/>
        </w:rPr>
      </w:pPr>
      <w:r w:rsidRPr="000660EE">
        <w:rPr>
          <w:rFonts w:ascii="Arial" w:hAnsi="Arial" w:cs="Arial"/>
        </w:rPr>
        <w:t>Atualmente boa parte dos problemas enfrentados pelos agricultores da região está relacionada à falta de assistência técnica nas propriedades, regularização fundiária, e falta de acesso às linhas de crédito e financiamento.  Além desses, também se nota a precária situação das moradias, dos acessos, dos meios de transporte público, dos sistemas de comunicação, do acesso às informações, além dos riscos ocupacionais e da distância entre os locais de trabalho e os serviços de saúde pública, acessados por essas famílias.</w:t>
      </w:r>
    </w:p>
    <w:p w:rsidR="000660EE" w:rsidRPr="000660EE" w:rsidRDefault="000660EE" w:rsidP="00B0139B">
      <w:pPr>
        <w:spacing w:line="360" w:lineRule="auto"/>
        <w:ind w:firstLine="567"/>
        <w:jc w:val="both"/>
        <w:rPr>
          <w:rFonts w:ascii="Arial" w:hAnsi="Arial" w:cs="Arial"/>
        </w:rPr>
      </w:pPr>
      <w:r w:rsidRPr="000660EE">
        <w:rPr>
          <w:rFonts w:ascii="Arial" w:hAnsi="Arial" w:cs="Arial"/>
        </w:rPr>
        <w:t>Do ponto de vista organizacional, chama atenção às dificuldades que envolvem o planejamento e a gestão das organizações desses agricultores, que mesmo diante de grandes oportunidades comerciais como as oferecidas pelos programas governamentais de aquisição de alimentos para entidades beneficentes e escolas, ainda esbarram no baixo envolvimento dos próprios associados e cooperados, que ainda comercializam a maior parte de sua produção por intermédio de atravessadores.</w:t>
      </w:r>
    </w:p>
    <w:p w:rsidR="000660EE" w:rsidRDefault="000660EE" w:rsidP="00B0139B">
      <w:pPr>
        <w:spacing w:line="360" w:lineRule="auto"/>
        <w:ind w:firstLine="567"/>
        <w:jc w:val="both"/>
        <w:rPr>
          <w:rFonts w:ascii="Arial" w:hAnsi="Arial" w:cs="Arial"/>
        </w:rPr>
      </w:pPr>
    </w:p>
    <w:p w:rsidR="00D54359" w:rsidRPr="00543B3B" w:rsidRDefault="00D54359" w:rsidP="00B0139B">
      <w:pPr>
        <w:spacing w:line="360" w:lineRule="auto"/>
        <w:ind w:firstLine="567"/>
        <w:jc w:val="both"/>
        <w:rPr>
          <w:rFonts w:ascii="Arial" w:hAnsi="Arial" w:cs="Arial"/>
          <w:b/>
          <w:sz w:val="24"/>
        </w:rPr>
      </w:pPr>
      <w:r w:rsidRPr="00543B3B">
        <w:rPr>
          <w:rFonts w:ascii="Arial" w:hAnsi="Arial" w:cs="Arial"/>
          <w:b/>
          <w:sz w:val="24"/>
        </w:rPr>
        <w:t>Considerações Finais</w:t>
      </w:r>
    </w:p>
    <w:p w:rsidR="00543B3B" w:rsidRDefault="00543B3B" w:rsidP="00B0139B">
      <w:pPr>
        <w:spacing w:line="360" w:lineRule="auto"/>
        <w:ind w:firstLine="567"/>
        <w:jc w:val="both"/>
        <w:rPr>
          <w:rFonts w:ascii="Arial" w:hAnsi="Arial" w:cs="Arial"/>
        </w:rPr>
      </w:pPr>
    </w:p>
    <w:p w:rsidR="00D54359" w:rsidRDefault="00543B3B" w:rsidP="00B0139B">
      <w:pPr>
        <w:spacing w:line="360" w:lineRule="auto"/>
        <w:ind w:firstLine="567"/>
        <w:jc w:val="both"/>
        <w:rPr>
          <w:rFonts w:ascii="Arial" w:hAnsi="Arial" w:cs="Arial"/>
        </w:rPr>
      </w:pPr>
      <w:r w:rsidRPr="00543B3B">
        <w:rPr>
          <w:rFonts w:ascii="Arial" w:hAnsi="Arial" w:cs="Arial"/>
        </w:rPr>
        <w:t>Os resultados preliminares deste estudo revelam</w:t>
      </w:r>
      <w:r w:rsidR="00167F02">
        <w:rPr>
          <w:rFonts w:ascii="Arial" w:hAnsi="Arial" w:cs="Arial"/>
        </w:rPr>
        <w:t>, na região administrativa de Sorocaba-SP,</w:t>
      </w:r>
      <w:r w:rsidRPr="00543B3B">
        <w:rPr>
          <w:rFonts w:ascii="Arial" w:hAnsi="Arial" w:cs="Arial"/>
        </w:rPr>
        <w:t xml:space="preserve"> uma grande participação da agricultura familiar organizada em várias associações e cooperativas, com estratégias diversificadas de atuação, que vai da venda direta em feiras </w:t>
      </w:r>
      <w:r w:rsidRPr="00543B3B">
        <w:rPr>
          <w:rFonts w:ascii="Arial" w:hAnsi="Arial" w:cs="Arial"/>
        </w:rPr>
        <w:lastRenderedPageBreak/>
        <w:t>livres até a participação nas compras públicas realizadas pelos municípios e pelo estado, o que tem garantido a sobrevivência desses grupos no meio rural, mesmo diante da forte pressão imobiliária exercida por alguns grupos econômicos, e da atratividade dos empregos oferecidos no comércio e na indústria, ambos em franca expansão na região estudada.</w:t>
      </w:r>
    </w:p>
    <w:p w:rsidR="00D54359" w:rsidRPr="000660EE" w:rsidRDefault="00543B3B" w:rsidP="00B0139B">
      <w:pPr>
        <w:spacing w:line="360" w:lineRule="auto"/>
        <w:ind w:firstLine="567"/>
        <w:jc w:val="both"/>
        <w:rPr>
          <w:rFonts w:ascii="Arial" w:hAnsi="Arial" w:cs="Arial"/>
        </w:rPr>
      </w:pPr>
      <w:r>
        <w:rPr>
          <w:rFonts w:ascii="Arial" w:hAnsi="Arial" w:cs="Arial"/>
        </w:rPr>
        <w:t>Frente a este quadro, ressalta-se a importância da continuidade de estudos mais aprofundados que possam diagnosticar os entraves sociais, econômicos e ambientais que possam estar impedindo a melhoria das condições de sustentabilidade dessa atividade na região.</w:t>
      </w:r>
    </w:p>
    <w:p w:rsidR="00720725" w:rsidRDefault="00720725" w:rsidP="00543B3B">
      <w:pPr>
        <w:spacing w:line="360" w:lineRule="auto"/>
        <w:jc w:val="both"/>
        <w:rPr>
          <w:rFonts w:ascii="Arial" w:hAnsi="Arial" w:cs="Arial"/>
          <w:b/>
          <w:sz w:val="24"/>
        </w:rPr>
      </w:pPr>
    </w:p>
    <w:p w:rsidR="000660EE" w:rsidRPr="00543B3B" w:rsidRDefault="000660EE" w:rsidP="00543B3B">
      <w:pPr>
        <w:spacing w:line="360" w:lineRule="auto"/>
        <w:jc w:val="both"/>
        <w:rPr>
          <w:rFonts w:ascii="Arial" w:hAnsi="Arial" w:cs="Arial"/>
          <w:b/>
          <w:sz w:val="24"/>
        </w:rPr>
      </w:pPr>
      <w:r w:rsidRPr="00543B3B">
        <w:rPr>
          <w:rFonts w:ascii="Arial" w:hAnsi="Arial" w:cs="Arial"/>
          <w:b/>
          <w:sz w:val="24"/>
        </w:rPr>
        <w:t xml:space="preserve">Referências </w:t>
      </w:r>
    </w:p>
    <w:p w:rsidR="00720725" w:rsidRDefault="00720725" w:rsidP="00720725">
      <w:pPr>
        <w:spacing w:line="360" w:lineRule="auto"/>
        <w:rPr>
          <w:rFonts w:ascii="Arial" w:hAnsi="Arial" w:cs="Arial"/>
          <w:color w:val="000000"/>
        </w:rPr>
      </w:pPr>
    </w:p>
    <w:p w:rsidR="00720725" w:rsidRPr="00720725" w:rsidRDefault="00720725" w:rsidP="00720725">
      <w:pPr>
        <w:spacing w:after="240"/>
        <w:rPr>
          <w:rFonts w:ascii="Arial" w:eastAsia="Calibri" w:hAnsi="Arial" w:cs="Arial"/>
        </w:rPr>
      </w:pPr>
      <w:r w:rsidRPr="00720725">
        <w:rPr>
          <w:rFonts w:ascii="Arial" w:hAnsi="Arial" w:cs="Arial"/>
          <w:color w:val="000000"/>
        </w:rPr>
        <w:t xml:space="preserve">ABRAMOVAY, R. </w:t>
      </w:r>
      <w:r w:rsidRPr="00720725">
        <w:rPr>
          <w:rFonts w:ascii="Arial" w:hAnsi="Arial" w:cs="Arial"/>
          <w:b/>
          <w:color w:val="000000"/>
        </w:rPr>
        <w:t>Paradigmas do capitalismo agrário em questão.</w:t>
      </w:r>
      <w:r w:rsidRPr="00720725">
        <w:rPr>
          <w:rFonts w:ascii="Arial" w:hAnsi="Arial" w:cs="Arial"/>
          <w:color w:val="000000"/>
        </w:rPr>
        <w:t xml:space="preserve"> São Paulo: HUCITEC/UNICAMP, 1992, 275 p.</w:t>
      </w:r>
    </w:p>
    <w:p w:rsidR="00720725" w:rsidRPr="00720725" w:rsidRDefault="00720725" w:rsidP="00720725">
      <w:pPr>
        <w:pStyle w:val="NormalWeb"/>
        <w:spacing w:after="240" w:afterAutospacing="0"/>
        <w:rPr>
          <w:rFonts w:ascii="Arial" w:hAnsi="Arial" w:cs="Arial"/>
          <w:color w:val="000000"/>
          <w:sz w:val="20"/>
          <w:szCs w:val="20"/>
        </w:rPr>
      </w:pPr>
      <w:r w:rsidRPr="00720725">
        <w:rPr>
          <w:rFonts w:ascii="Arial" w:hAnsi="Arial" w:cs="Arial"/>
          <w:color w:val="000000"/>
          <w:sz w:val="20"/>
          <w:szCs w:val="20"/>
        </w:rPr>
        <w:t>BRASIL - Ministério da Agricultura, Pecuária e Abastecimento (MAPA). Disponível em: &lt; http://www.agricultura.gov.br&gt;. Acesso em: 06 fev.20</w:t>
      </w:r>
      <w:r>
        <w:rPr>
          <w:rFonts w:ascii="Arial" w:hAnsi="Arial" w:cs="Arial"/>
          <w:color w:val="000000"/>
          <w:sz w:val="20"/>
          <w:szCs w:val="20"/>
        </w:rPr>
        <w:t>11</w:t>
      </w:r>
      <w:r w:rsidRPr="00720725">
        <w:rPr>
          <w:rFonts w:ascii="Arial" w:hAnsi="Arial" w:cs="Arial"/>
          <w:color w:val="000000"/>
          <w:sz w:val="20"/>
          <w:szCs w:val="20"/>
        </w:rPr>
        <w:t>.</w:t>
      </w:r>
    </w:p>
    <w:p w:rsidR="00720725" w:rsidRPr="00720725" w:rsidRDefault="00720725" w:rsidP="00720725">
      <w:pPr>
        <w:pStyle w:val="NormalWeb"/>
        <w:spacing w:after="240" w:afterAutospacing="0"/>
        <w:rPr>
          <w:rFonts w:ascii="Arial" w:hAnsi="Arial" w:cs="Arial"/>
          <w:color w:val="000000"/>
          <w:sz w:val="20"/>
          <w:szCs w:val="20"/>
        </w:rPr>
      </w:pPr>
      <w:r w:rsidRPr="00720725">
        <w:rPr>
          <w:rFonts w:ascii="Arial" w:hAnsi="Arial" w:cs="Arial"/>
          <w:color w:val="000000"/>
          <w:sz w:val="20"/>
          <w:szCs w:val="20"/>
        </w:rPr>
        <w:t>CALLADO, A.</w:t>
      </w:r>
      <w:r>
        <w:rPr>
          <w:rFonts w:ascii="Arial" w:hAnsi="Arial" w:cs="Arial"/>
          <w:color w:val="000000"/>
          <w:sz w:val="20"/>
          <w:szCs w:val="20"/>
        </w:rPr>
        <w:t xml:space="preserve"> A.</w:t>
      </w:r>
      <w:r w:rsidRPr="00720725">
        <w:rPr>
          <w:rFonts w:ascii="Arial" w:hAnsi="Arial" w:cs="Arial"/>
          <w:color w:val="000000"/>
          <w:sz w:val="20"/>
          <w:szCs w:val="20"/>
        </w:rPr>
        <w:t xml:space="preserve"> C. </w:t>
      </w:r>
      <w:r w:rsidRPr="00720725">
        <w:rPr>
          <w:rFonts w:ascii="Arial" w:hAnsi="Arial" w:cs="Arial"/>
          <w:b/>
          <w:color w:val="000000"/>
          <w:sz w:val="20"/>
          <w:szCs w:val="20"/>
        </w:rPr>
        <w:t>Agronegócio.</w:t>
      </w:r>
      <w:r w:rsidRPr="00720725">
        <w:rPr>
          <w:rFonts w:ascii="Arial" w:hAnsi="Arial" w:cs="Arial"/>
          <w:color w:val="000000"/>
          <w:sz w:val="20"/>
          <w:szCs w:val="20"/>
        </w:rPr>
        <w:t xml:space="preserve"> São Paulo: Atlas, 2006.</w:t>
      </w:r>
    </w:p>
    <w:p w:rsidR="00720725" w:rsidRPr="00720725" w:rsidRDefault="00720725" w:rsidP="00720725">
      <w:pPr>
        <w:pStyle w:val="NormalWeb"/>
        <w:spacing w:after="240" w:afterAutospacing="0"/>
        <w:rPr>
          <w:rFonts w:ascii="Arial" w:hAnsi="Arial" w:cs="Arial"/>
          <w:color w:val="000000"/>
          <w:sz w:val="20"/>
          <w:szCs w:val="20"/>
        </w:rPr>
      </w:pPr>
      <w:r w:rsidRPr="00720725">
        <w:rPr>
          <w:rFonts w:ascii="Arial" w:hAnsi="Arial" w:cs="Arial"/>
          <w:color w:val="000000"/>
          <w:sz w:val="20"/>
          <w:szCs w:val="20"/>
        </w:rPr>
        <w:t>CONFEDERAÇÃO DA AGRICULTURA E PECUÁRIA DO BRASIL - CNA. Disponível em: &lt; http://www.cna.org.br/site/agencia/&gt;. Acesso em: 09 jul.2009.</w:t>
      </w:r>
    </w:p>
    <w:p w:rsidR="00720725" w:rsidRPr="00720725" w:rsidRDefault="00720725" w:rsidP="00720725">
      <w:pPr>
        <w:pStyle w:val="NormalWeb"/>
        <w:spacing w:after="240" w:afterAutospacing="0"/>
        <w:rPr>
          <w:rFonts w:ascii="Arial" w:hAnsi="Arial" w:cs="Arial"/>
          <w:color w:val="000000"/>
          <w:sz w:val="20"/>
          <w:szCs w:val="20"/>
        </w:rPr>
      </w:pPr>
      <w:proofErr w:type="gramStart"/>
      <w:r w:rsidRPr="00720725">
        <w:rPr>
          <w:rFonts w:ascii="Arial" w:hAnsi="Arial" w:cs="Arial"/>
          <w:color w:val="000000"/>
          <w:sz w:val="20"/>
          <w:szCs w:val="20"/>
          <w:lang w:val="en-US"/>
        </w:rPr>
        <w:t xml:space="preserve">DAVIS, J. H; </w:t>
      </w:r>
      <w:r w:rsidRPr="00720725">
        <w:rPr>
          <w:rFonts w:ascii="Arial" w:hAnsi="Arial" w:cs="Arial"/>
          <w:color w:val="000000"/>
          <w:sz w:val="20"/>
          <w:szCs w:val="20"/>
          <w:lang w:val="en-US"/>
        </w:rPr>
        <w:t>GOLDBERG</w:t>
      </w:r>
      <w:r w:rsidRPr="00720725">
        <w:rPr>
          <w:rFonts w:ascii="Arial" w:hAnsi="Arial" w:cs="Arial"/>
          <w:color w:val="000000"/>
          <w:sz w:val="20"/>
          <w:szCs w:val="20"/>
          <w:lang w:val="en-US"/>
        </w:rPr>
        <w:t>, R. A.</w:t>
      </w:r>
      <w:proofErr w:type="gramEnd"/>
      <w:r w:rsidRPr="00720725">
        <w:rPr>
          <w:rFonts w:ascii="Arial" w:hAnsi="Arial" w:cs="Arial"/>
          <w:color w:val="000000"/>
          <w:sz w:val="20"/>
          <w:szCs w:val="20"/>
          <w:lang w:val="en-US"/>
        </w:rPr>
        <w:t xml:space="preserve"> </w:t>
      </w:r>
      <w:proofErr w:type="gramStart"/>
      <w:r w:rsidRPr="00720725">
        <w:rPr>
          <w:rFonts w:ascii="Arial" w:hAnsi="Arial" w:cs="Arial"/>
          <w:b/>
          <w:color w:val="000000"/>
          <w:sz w:val="20"/>
          <w:szCs w:val="20"/>
          <w:lang w:val="en-US"/>
        </w:rPr>
        <w:t>A concept of agribusiness.</w:t>
      </w:r>
      <w:proofErr w:type="gramEnd"/>
      <w:r w:rsidRPr="00720725">
        <w:rPr>
          <w:rFonts w:ascii="Arial" w:hAnsi="Arial" w:cs="Arial"/>
          <w:color w:val="000000"/>
          <w:sz w:val="20"/>
          <w:szCs w:val="20"/>
          <w:lang w:val="en-US"/>
        </w:rPr>
        <w:t xml:space="preserve"> </w:t>
      </w:r>
      <w:r w:rsidRPr="00720725">
        <w:rPr>
          <w:rFonts w:ascii="Arial" w:hAnsi="Arial" w:cs="Arial"/>
          <w:color w:val="000000"/>
          <w:sz w:val="20"/>
          <w:szCs w:val="20"/>
        </w:rPr>
        <w:t xml:space="preserve">Boston: Harvard </w:t>
      </w:r>
      <w:proofErr w:type="spellStart"/>
      <w:r w:rsidRPr="00720725">
        <w:rPr>
          <w:rFonts w:ascii="Arial" w:hAnsi="Arial" w:cs="Arial"/>
          <w:color w:val="000000"/>
          <w:sz w:val="20"/>
          <w:szCs w:val="20"/>
        </w:rPr>
        <w:t>University</w:t>
      </w:r>
      <w:proofErr w:type="spellEnd"/>
      <w:r w:rsidRPr="00720725">
        <w:rPr>
          <w:rFonts w:ascii="Arial" w:hAnsi="Arial" w:cs="Arial"/>
          <w:color w:val="000000"/>
          <w:sz w:val="20"/>
          <w:szCs w:val="20"/>
        </w:rPr>
        <w:t>. 1957. 135 p.</w:t>
      </w:r>
    </w:p>
    <w:p w:rsidR="00720725" w:rsidRPr="00720725" w:rsidRDefault="00720725" w:rsidP="00720725">
      <w:pPr>
        <w:spacing w:after="240"/>
        <w:rPr>
          <w:rFonts w:ascii="Arial" w:eastAsia="Calibri" w:hAnsi="Arial" w:cs="Arial"/>
        </w:rPr>
      </w:pPr>
      <w:r w:rsidRPr="00720725">
        <w:rPr>
          <w:rFonts w:ascii="Arial" w:hAnsi="Arial" w:cs="Arial"/>
          <w:color w:val="000000"/>
        </w:rPr>
        <w:t xml:space="preserve">GONÇALVES, J. S.; SOUZA, S. A. M. Agricultura familiar: limites do conceito e evolução do crédito. </w:t>
      </w:r>
      <w:r w:rsidRPr="00720725">
        <w:rPr>
          <w:rFonts w:ascii="Arial" w:hAnsi="Arial" w:cs="Arial"/>
          <w:b/>
          <w:color w:val="000000"/>
        </w:rPr>
        <w:t>Artigos: políticas públicas.</w:t>
      </w:r>
      <w:r w:rsidRPr="00720725">
        <w:rPr>
          <w:rFonts w:ascii="Arial" w:hAnsi="Arial" w:cs="Arial"/>
          <w:color w:val="000000"/>
        </w:rPr>
        <w:t xml:space="preserve"> Instituto de Economia Agrícola</w:t>
      </w:r>
      <w:r>
        <w:rPr>
          <w:rFonts w:ascii="Arial" w:hAnsi="Arial" w:cs="Arial"/>
          <w:color w:val="000000"/>
        </w:rPr>
        <w:t>.</w:t>
      </w:r>
      <w:r w:rsidRPr="00720725">
        <w:rPr>
          <w:rFonts w:ascii="Arial" w:hAnsi="Arial" w:cs="Arial"/>
          <w:color w:val="000000"/>
        </w:rPr>
        <w:t xml:space="preserve"> Disponível em: &lt;</w:t>
      </w:r>
      <w:proofErr w:type="gramStart"/>
      <w:r w:rsidRPr="00720725">
        <w:rPr>
          <w:rFonts w:ascii="Arial" w:hAnsi="Arial" w:cs="Arial"/>
          <w:color w:val="000000"/>
        </w:rPr>
        <w:t>http://</w:t>
      </w:r>
      <w:r w:rsidRPr="00720725">
        <w:rPr>
          <w:rFonts w:ascii="Arial" w:hAnsi="Arial" w:cs="Arial"/>
        </w:rPr>
        <w:t>www.iea.sp.gov.br/out/verTexto.</w:t>
      </w:r>
      <w:proofErr w:type="gramEnd"/>
      <w:r w:rsidRPr="00720725">
        <w:rPr>
          <w:rFonts w:ascii="Arial" w:hAnsi="Arial" w:cs="Arial"/>
        </w:rPr>
        <w:t>php?</w:t>
      </w:r>
      <w:proofErr w:type="gramStart"/>
      <w:r w:rsidRPr="00720725">
        <w:rPr>
          <w:rFonts w:ascii="Arial" w:hAnsi="Arial" w:cs="Arial"/>
        </w:rPr>
        <w:t>codTexto</w:t>
      </w:r>
      <w:proofErr w:type="gramEnd"/>
      <w:r w:rsidRPr="00720725">
        <w:rPr>
          <w:rFonts w:ascii="Arial" w:hAnsi="Arial" w:cs="Arial"/>
        </w:rPr>
        <w:t>=2521</w:t>
      </w:r>
      <w:r w:rsidRPr="00720725">
        <w:rPr>
          <w:rFonts w:ascii="Arial" w:hAnsi="Arial" w:cs="Arial"/>
          <w:color w:val="000000"/>
        </w:rPr>
        <w:t>&gt;.</w:t>
      </w:r>
      <w:r w:rsidRPr="00720725">
        <w:rPr>
          <w:rStyle w:val="apple-converted-space"/>
          <w:rFonts w:ascii="Arial" w:hAnsi="Arial" w:cs="Arial"/>
          <w:color w:val="000000"/>
        </w:rPr>
        <w:t> </w:t>
      </w:r>
      <w:r w:rsidRPr="00720725">
        <w:rPr>
          <w:rFonts w:ascii="Arial" w:hAnsi="Arial" w:cs="Arial"/>
          <w:color w:val="000000"/>
        </w:rPr>
        <w:t xml:space="preserve">Acesso em </w:t>
      </w:r>
      <w:r w:rsidRPr="00720725">
        <w:rPr>
          <w:rFonts w:ascii="Arial" w:hAnsi="Arial" w:cs="Arial"/>
          <w:color w:val="000000"/>
        </w:rPr>
        <w:t>10</w:t>
      </w:r>
      <w:r w:rsidRPr="00720725">
        <w:rPr>
          <w:rFonts w:ascii="Arial" w:hAnsi="Arial" w:cs="Arial"/>
          <w:color w:val="000000"/>
        </w:rPr>
        <w:t xml:space="preserve"> </w:t>
      </w:r>
      <w:r w:rsidRPr="00720725">
        <w:rPr>
          <w:rFonts w:ascii="Arial" w:hAnsi="Arial" w:cs="Arial"/>
          <w:color w:val="000000"/>
        </w:rPr>
        <w:t>ago</w:t>
      </w:r>
      <w:r w:rsidRPr="00720725">
        <w:rPr>
          <w:rFonts w:ascii="Arial" w:hAnsi="Arial" w:cs="Arial"/>
          <w:color w:val="000000"/>
        </w:rPr>
        <w:t>. 20</w:t>
      </w:r>
      <w:r w:rsidRPr="00720725">
        <w:rPr>
          <w:rFonts w:ascii="Arial" w:hAnsi="Arial" w:cs="Arial"/>
          <w:color w:val="000000"/>
        </w:rPr>
        <w:t>05</w:t>
      </w:r>
      <w:r w:rsidRPr="00720725">
        <w:rPr>
          <w:rFonts w:ascii="Arial" w:hAnsi="Arial" w:cs="Arial"/>
          <w:color w:val="000000"/>
        </w:rPr>
        <w:t>.</w:t>
      </w:r>
    </w:p>
    <w:p w:rsidR="00720725" w:rsidRPr="00720725" w:rsidRDefault="00720725" w:rsidP="00720725">
      <w:pPr>
        <w:pStyle w:val="NormalWeb"/>
        <w:spacing w:before="0" w:beforeAutospacing="0" w:after="240" w:afterAutospacing="0"/>
        <w:rPr>
          <w:rFonts w:ascii="Arial" w:hAnsi="Arial" w:cs="Arial"/>
          <w:sz w:val="20"/>
          <w:szCs w:val="20"/>
        </w:rPr>
      </w:pPr>
      <w:r w:rsidRPr="00720725">
        <w:rPr>
          <w:rFonts w:ascii="Arial" w:hAnsi="Arial" w:cs="Arial"/>
          <w:sz w:val="20"/>
          <w:szCs w:val="20"/>
        </w:rPr>
        <w:t>IBGE – INSTITUTO BRASILEIRO DE GEOGRAFIA E ESTATÍSTICA.</w:t>
      </w:r>
      <w:r w:rsidRPr="00720725">
        <w:rPr>
          <w:rStyle w:val="apple-converted-space"/>
          <w:rFonts w:ascii="Arial" w:hAnsi="Arial" w:cs="Arial"/>
          <w:sz w:val="20"/>
          <w:szCs w:val="20"/>
        </w:rPr>
        <w:t> </w:t>
      </w:r>
      <w:r w:rsidRPr="00720725">
        <w:rPr>
          <w:rFonts w:ascii="Arial" w:hAnsi="Arial" w:cs="Arial"/>
          <w:b/>
          <w:bCs/>
          <w:sz w:val="20"/>
          <w:szCs w:val="20"/>
        </w:rPr>
        <w:t>Perfil dos Municípios Brasileiros</w:t>
      </w:r>
      <w:r w:rsidRPr="00720725">
        <w:rPr>
          <w:rFonts w:ascii="Arial" w:hAnsi="Arial" w:cs="Arial"/>
          <w:sz w:val="20"/>
          <w:szCs w:val="20"/>
        </w:rPr>
        <w:t xml:space="preserve">: meio </w:t>
      </w:r>
      <w:proofErr w:type="gramStart"/>
      <w:r w:rsidRPr="00720725">
        <w:rPr>
          <w:rFonts w:ascii="Arial" w:hAnsi="Arial" w:cs="Arial"/>
          <w:sz w:val="20"/>
          <w:szCs w:val="20"/>
        </w:rPr>
        <w:t>ambiente 2002</w:t>
      </w:r>
      <w:proofErr w:type="gramEnd"/>
      <w:r w:rsidRPr="00720725">
        <w:rPr>
          <w:rFonts w:ascii="Arial" w:hAnsi="Arial" w:cs="Arial"/>
          <w:sz w:val="20"/>
          <w:szCs w:val="20"/>
        </w:rPr>
        <w:t>. Rio de Janeiro, IBGE, 2005. 388 p</w:t>
      </w:r>
    </w:p>
    <w:p w:rsidR="00720725" w:rsidRPr="00720725" w:rsidRDefault="00720725" w:rsidP="00720725">
      <w:pPr>
        <w:pStyle w:val="NormalWeb"/>
        <w:spacing w:before="0" w:beforeAutospacing="0" w:after="240" w:afterAutospacing="0"/>
        <w:rPr>
          <w:rStyle w:val="apple-style-span"/>
          <w:rFonts w:ascii="Arial" w:hAnsi="Arial" w:cs="Arial"/>
          <w:sz w:val="20"/>
          <w:szCs w:val="20"/>
        </w:rPr>
      </w:pPr>
      <w:r w:rsidRPr="00720725">
        <w:rPr>
          <w:rFonts w:ascii="Arial" w:hAnsi="Arial" w:cs="Arial"/>
          <w:sz w:val="20"/>
          <w:szCs w:val="20"/>
        </w:rPr>
        <w:t>IPEA – INSTITUTO DE PESQUISAS ECONÔMICAS APLICADAS.</w:t>
      </w:r>
      <w:r w:rsidRPr="00720725">
        <w:rPr>
          <w:rStyle w:val="apple-converted-space"/>
          <w:rFonts w:ascii="Arial" w:hAnsi="Arial" w:cs="Arial"/>
          <w:sz w:val="20"/>
          <w:szCs w:val="20"/>
        </w:rPr>
        <w:t> </w:t>
      </w:r>
      <w:r w:rsidRPr="00720725">
        <w:rPr>
          <w:rFonts w:ascii="Arial" w:hAnsi="Arial" w:cs="Arial"/>
          <w:b/>
          <w:bCs/>
          <w:sz w:val="20"/>
          <w:szCs w:val="20"/>
        </w:rPr>
        <w:t>Radar Social</w:t>
      </w:r>
      <w:r w:rsidRPr="00720725">
        <w:rPr>
          <w:rFonts w:ascii="Arial" w:hAnsi="Arial" w:cs="Arial"/>
          <w:sz w:val="20"/>
          <w:szCs w:val="20"/>
        </w:rPr>
        <w:t>. Brasília, IPEA, 2005. 132 p.</w:t>
      </w:r>
      <w:proofErr w:type="gramStart"/>
      <w:r w:rsidRPr="00720725">
        <w:rPr>
          <w:rFonts w:ascii="Arial" w:hAnsi="Arial" w:cs="Arial"/>
          <w:sz w:val="20"/>
          <w:szCs w:val="20"/>
        </w:rPr>
        <w:t xml:space="preserve">  </w:t>
      </w:r>
      <w:proofErr w:type="gramEnd"/>
      <w:r w:rsidRPr="00720725">
        <w:rPr>
          <w:rFonts w:ascii="Arial" w:hAnsi="Arial" w:cs="Arial"/>
          <w:sz w:val="20"/>
          <w:szCs w:val="20"/>
        </w:rPr>
        <w:t>        MAWHINNEY, M.</w:t>
      </w:r>
      <w:r w:rsidRPr="00720725">
        <w:rPr>
          <w:rStyle w:val="apple-converted-space"/>
          <w:rFonts w:ascii="Arial" w:hAnsi="Arial" w:cs="Arial"/>
          <w:sz w:val="20"/>
          <w:szCs w:val="20"/>
        </w:rPr>
        <w:t> </w:t>
      </w:r>
      <w:r w:rsidRPr="00720725">
        <w:rPr>
          <w:rFonts w:ascii="Arial" w:hAnsi="Arial" w:cs="Arial"/>
          <w:b/>
          <w:bCs/>
          <w:sz w:val="20"/>
          <w:szCs w:val="20"/>
        </w:rPr>
        <w:t>Desenvolvimento Sustentável</w:t>
      </w:r>
      <w:r w:rsidRPr="00720725">
        <w:rPr>
          <w:rFonts w:ascii="Arial" w:hAnsi="Arial" w:cs="Arial"/>
          <w:sz w:val="20"/>
          <w:szCs w:val="20"/>
        </w:rPr>
        <w:t>: uma introdução ao debate ecológico. São Paulo: Edições Loyola, 2005. 231 p</w:t>
      </w:r>
      <w:r w:rsidRPr="00720725">
        <w:rPr>
          <w:rStyle w:val="apple-style-span"/>
          <w:rFonts w:ascii="Arial" w:hAnsi="Arial" w:cs="Arial"/>
          <w:sz w:val="20"/>
          <w:szCs w:val="20"/>
        </w:rPr>
        <w:t xml:space="preserve"> </w:t>
      </w:r>
    </w:p>
    <w:p w:rsidR="00720725" w:rsidRPr="00720725" w:rsidRDefault="00720725" w:rsidP="00720725">
      <w:pPr>
        <w:pStyle w:val="NormalWeb"/>
        <w:spacing w:after="240" w:afterAutospacing="0"/>
        <w:rPr>
          <w:rFonts w:ascii="Arial" w:hAnsi="Arial" w:cs="Arial"/>
          <w:color w:val="000000"/>
          <w:sz w:val="20"/>
          <w:szCs w:val="20"/>
        </w:rPr>
      </w:pPr>
      <w:r w:rsidRPr="00720725">
        <w:rPr>
          <w:rFonts w:ascii="Arial" w:hAnsi="Arial" w:cs="Arial"/>
          <w:color w:val="000000"/>
          <w:sz w:val="20"/>
          <w:szCs w:val="20"/>
        </w:rPr>
        <w:t xml:space="preserve">MAPA. Ministério da Agricultura, Pecuária e Abastecimento. </w:t>
      </w:r>
      <w:r w:rsidRPr="00720725">
        <w:rPr>
          <w:rFonts w:ascii="Arial" w:hAnsi="Arial" w:cs="Arial"/>
          <w:b/>
          <w:color w:val="000000"/>
          <w:sz w:val="20"/>
          <w:szCs w:val="20"/>
        </w:rPr>
        <w:t>Agronegócio Brasileiro:</w:t>
      </w:r>
      <w:r w:rsidRPr="00720725">
        <w:rPr>
          <w:rFonts w:ascii="Arial" w:hAnsi="Arial" w:cs="Arial"/>
          <w:color w:val="000000"/>
          <w:sz w:val="20"/>
          <w:szCs w:val="20"/>
        </w:rPr>
        <w:t xml:space="preserve"> Uma Oportunidade de Investimentos. Disponível em: &lt; http://www.agricultura.gov.br/portal/&gt;. Acesso em: 29 jan.2009.</w:t>
      </w:r>
    </w:p>
    <w:p w:rsidR="00720725" w:rsidRPr="00720725" w:rsidRDefault="00720725" w:rsidP="00720725">
      <w:pPr>
        <w:pStyle w:val="NormalWeb"/>
        <w:spacing w:after="240" w:afterAutospacing="0"/>
        <w:rPr>
          <w:rFonts w:ascii="Arial" w:hAnsi="Arial" w:cs="Arial"/>
          <w:color w:val="000000"/>
          <w:sz w:val="20"/>
          <w:szCs w:val="20"/>
        </w:rPr>
      </w:pPr>
      <w:r w:rsidRPr="00720725">
        <w:rPr>
          <w:rFonts w:ascii="Arial" w:hAnsi="Arial" w:cs="Arial"/>
          <w:color w:val="000000"/>
          <w:sz w:val="20"/>
          <w:szCs w:val="20"/>
        </w:rPr>
        <w:t xml:space="preserve">RENAI. </w:t>
      </w:r>
      <w:r w:rsidR="00167F02">
        <w:rPr>
          <w:rFonts w:ascii="Arial" w:hAnsi="Arial" w:cs="Arial"/>
          <w:color w:val="000000"/>
          <w:sz w:val="20"/>
          <w:szCs w:val="20"/>
        </w:rPr>
        <w:t xml:space="preserve"> </w:t>
      </w:r>
      <w:r w:rsidRPr="00720725">
        <w:rPr>
          <w:rFonts w:ascii="Arial" w:hAnsi="Arial" w:cs="Arial"/>
          <w:color w:val="000000"/>
          <w:sz w:val="20"/>
          <w:szCs w:val="20"/>
        </w:rPr>
        <w:t xml:space="preserve">Rede Nacional de Informações sobre o Investimento. </w:t>
      </w:r>
      <w:r w:rsidRPr="00720725">
        <w:rPr>
          <w:rFonts w:ascii="Arial" w:hAnsi="Arial" w:cs="Arial"/>
          <w:b/>
          <w:color w:val="000000"/>
          <w:sz w:val="20"/>
          <w:szCs w:val="20"/>
        </w:rPr>
        <w:t>O Setor de Agronegócio no Brasil:</w:t>
      </w:r>
      <w:r w:rsidRPr="00720725">
        <w:rPr>
          <w:rFonts w:ascii="Arial" w:hAnsi="Arial" w:cs="Arial"/>
          <w:color w:val="000000"/>
          <w:sz w:val="20"/>
          <w:szCs w:val="20"/>
        </w:rPr>
        <w:t xml:space="preserve"> Histórico e Evolução do Agronegócio Brasileiro. Disponível em: &lt; http://investimentos.desenvolvimento.gov.br/intern&gt;. Acesso em: 29 jan.2009.</w:t>
      </w:r>
    </w:p>
    <w:p w:rsidR="00720725" w:rsidRPr="00720725" w:rsidRDefault="00720725" w:rsidP="00720725">
      <w:pPr>
        <w:shd w:val="clear" w:color="auto" w:fill="FFFFFF"/>
        <w:spacing w:after="240"/>
        <w:rPr>
          <w:rFonts w:ascii="Arial" w:eastAsia="Calibri" w:hAnsi="Arial" w:cs="Arial"/>
        </w:rPr>
      </w:pPr>
      <w:r w:rsidRPr="00720725">
        <w:rPr>
          <w:rFonts w:ascii="Arial" w:eastAsia="Calibri" w:hAnsi="Arial" w:cs="Arial"/>
        </w:rPr>
        <w:t xml:space="preserve">SACHS, I. </w:t>
      </w:r>
      <w:r w:rsidRPr="00720725">
        <w:rPr>
          <w:rFonts w:ascii="Arial" w:eastAsia="Calibri" w:hAnsi="Arial" w:cs="Arial"/>
          <w:b/>
        </w:rPr>
        <w:t>Caminhos para o desenvolvimento sustentável.</w:t>
      </w:r>
      <w:r w:rsidRPr="00720725">
        <w:rPr>
          <w:rFonts w:ascii="Arial" w:eastAsia="Calibri" w:hAnsi="Arial" w:cs="Arial"/>
        </w:rPr>
        <w:t xml:space="preserve"> Rio de Janeiro: </w:t>
      </w:r>
      <w:proofErr w:type="spellStart"/>
      <w:r w:rsidRPr="00720725">
        <w:rPr>
          <w:rFonts w:ascii="Arial" w:eastAsia="Calibri" w:hAnsi="Arial" w:cs="Arial"/>
        </w:rPr>
        <w:t>Garomond</w:t>
      </w:r>
      <w:proofErr w:type="spellEnd"/>
      <w:r w:rsidRPr="00720725">
        <w:rPr>
          <w:rFonts w:ascii="Arial" w:eastAsia="Calibri" w:hAnsi="Arial" w:cs="Arial"/>
        </w:rPr>
        <w:t>, 2000. 96p.</w:t>
      </w:r>
    </w:p>
    <w:p w:rsidR="00720725" w:rsidRPr="00720725" w:rsidRDefault="00720725" w:rsidP="00720725">
      <w:pPr>
        <w:pStyle w:val="NormalWeb"/>
        <w:spacing w:after="240" w:afterAutospacing="0"/>
        <w:rPr>
          <w:rFonts w:ascii="Arial" w:hAnsi="Arial" w:cs="Arial"/>
          <w:color w:val="000000"/>
          <w:sz w:val="20"/>
          <w:szCs w:val="20"/>
        </w:rPr>
      </w:pPr>
      <w:r w:rsidRPr="00720725">
        <w:rPr>
          <w:rFonts w:ascii="Arial" w:hAnsi="Arial" w:cs="Arial"/>
          <w:color w:val="000000"/>
          <w:sz w:val="20"/>
          <w:szCs w:val="20"/>
        </w:rPr>
        <w:t>STEFANELO, E</w:t>
      </w:r>
      <w:r>
        <w:rPr>
          <w:rFonts w:ascii="Arial" w:hAnsi="Arial" w:cs="Arial"/>
          <w:color w:val="000000"/>
          <w:sz w:val="20"/>
          <w:szCs w:val="20"/>
        </w:rPr>
        <w:t>.</w:t>
      </w:r>
      <w:r w:rsidRPr="00720725">
        <w:rPr>
          <w:rFonts w:ascii="Arial" w:hAnsi="Arial" w:cs="Arial"/>
          <w:color w:val="000000"/>
          <w:sz w:val="20"/>
          <w:szCs w:val="20"/>
        </w:rPr>
        <w:t xml:space="preserve"> L. Agronegócio brasileiro: propostas e tendências. </w:t>
      </w:r>
      <w:r w:rsidRPr="00720725">
        <w:rPr>
          <w:rFonts w:ascii="Arial" w:hAnsi="Arial" w:cs="Arial"/>
          <w:b/>
          <w:color w:val="000000"/>
          <w:sz w:val="20"/>
          <w:szCs w:val="20"/>
        </w:rPr>
        <w:t>Revista FAE Business.</w:t>
      </w:r>
      <w:r w:rsidRPr="00720725">
        <w:rPr>
          <w:rFonts w:ascii="Arial" w:hAnsi="Arial" w:cs="Arial"/>
          <w:color w:val="000000"/>
          <w:sz w:val="20"/>
          <w:szCs w:val="20"/>
        </w:rPr>
        <w:t xml:space="preserve"> n </w:t>
      </w:r>
      <w:proofErr w:type="gramStart"/>
      <w:r w:rsidRPr="00720725">
        <w:rPr>
          <w:rFonts w:ascii="Arial" w:hAnsi="Arial" w:cs="Arial"/>
          <w:color w:val="000000"/>
          <w:sz w:val="20"/>
          <w:szCs w:val="20"/>
        </w:rPr>
        <w:t>3</w:t>
      </w:r>
      <w:proofErr w:type="gramEnd"/>
      <w:r w:rsidRPr="00720725">
        <w:rPr>
          <w:rFonts w:ascii="Arial" w:hAnsi="Arial" w:cs="Arial"/>
          <w:color w:val="000000"/>
          <w:sz w:val="20"/>
          <w:szCs w:val="20"/>
        </w:rPr>
        <w:t>, set. 2002.</w:t>
      </w:r>
    </w:p>
    <w:p w:rsidR="00720725" w:rsidRPr="00720725" w:rsidRDefault="00720725" w:rsidP="00720725">
      <w:pPr>
        <w:spacing w:after="240"/>
        <w:rPr>
          <w:rFonts w:ascii="Arial" w:eastAsia="Calibri" w:hAnsi="Arial" w:cs="Arial"/>
          <w:lang w:val="en-US"/>
        </w:rPr>
      </w:pPr>
      <w:r w:rsidRPr="00720725">
        <w:rPr>
          <w:rFonts w:ascii="Arial" w:hAnsi="Arial" w:cs="Arial"/>
          <w:color w:val="000000"/>
        </w:rPr>
        <w:t xml:space="preserve">VEIGA, J. E. ; FAVARETO, </w:t>
      </w:r>
      <w:proofErr w:type="gramStart"/>
      <w:r w:rsidRPr="00720725">
        <w:rPr>
          <w:rFonts w:ascii="Arial" w:hAnsi="Arial" w:cs="Arial"/>
          <w:color w:val="000000"/>
        </w:rPr>
        <w:t>A. ;</w:t>
      </w:r>
      <w:proofErr w:type="gramEnd"/>
      <w:r w:rsidRPr="00720725">
        <w:rPr>
          <w:rFonts w:ascii="Arial" w:hAnsi="Arial" w:cs="Arial"/>
          <w:color w:val="000000"/>
        </w:rPr>
        <w:t xml:space="preserve"> AZEVEDO, C.M.A. ;BITTENCOURT, G. ;</w:t>
      </w:r>
      <w:r w:rsidRPr="00720725">
        <w:rPr>
          <w:rStyle w:val="apple-converted-space"/>
          <w:rFonts w:ascii="Arial" w:hAnsi="Arial" w:cs="Arial"/>
          <w:color w:val="000000"/>
        </w:rPr>
        <w:t> </w:t>
      </w:r>
      <w:r w:rsidRPr="00720725">
        <w:rPr>
          <w:rFonts w:ascii="Arial" w:hAnsi="Arial" w:cs="Arial"/>
          <w:color w:val="000000"/>
        </w:rPr>
        <w:t xml:space="preserve">VECCHIATTI, K. ; MAGALHÃES, </w:t>
      </w:r>
      <w:proofErr w:type="gramStart"/>
      <w:r w:rsidRPr="00720725">
        <w:rPr>
          <w:rFonts w:ascii="Arial" w:hAnsi="Arial" w:cs="Arial"/>
          <w:color w:val="000000"/>
        </w:rPr>
        <w:t>R. ;</w:t>
      </w:r>
      <w:proofErr w:type="gramEnd"/>
      <w:r w:rsidRPr="00720725">
        <w:rPr>
          <w:rFonts w:ascii="Arial" w:hAnsi="Arial" w:cs="Arial"/>
          <w:color w:val="000000"/>
        </w:rPr>
        <w:t xml:space="preserve"> JORGE, R. </w:t>
      </w:r>
      <w:r w:rsidRPr="00167F02">
        <w:rPr>
          <w:rFonts w:ascii="Arial" w:hAnsi="Arial" w:cs="Arial"/>
          <w:b/>
          <w:color w:val="000000"/>
        </w:rPr>
        <w:t>O Brasil rural precisa de uma estratégia de desenvolvimento</w:t>
      </w:r>
      <w:r w:rsidR="00167F02">
        <w:rPr>
          <w:rFonts w:ascii="Arial" w:hAnsi="Arial" w:cs="Arial"/>
          <w:color w:val="000000"/>
        </w:rPr>
        <w:t>.</w:t>
      </w:r>
      <w:r w:rsidRPr="00720725">
        <w:rPr>
          <w:rFonts w:ascii="Arial" w:hAnsi="Arial" w:cs="Arial"/>
          <w:color w:val="000000"/>
        </w:rPr>
        <w:t xml:space="preserve"> Brasília: Convênio FIPE-</w:t>
      </w:r>
      <w:proofErr w:type="gramStart"/>
      <w:r w:rsidRPr="00720725">
        <w:rPr>
          <w:rFonts w:ascii="Arial" w:hAnsi="Arial" w:cs="Arial"/>
          <w:color w:val="000000"/>
        </w:rPr>
        <w:t>IICA(</w:t>
      </w:r>
      <w:proofErr w:type="gramEnd"/>
      <w:r w:rsidRPr="00720725">
        <w:rPr>
          <w:rFonts w:ascii="Arial" w:hAnsi="Arial" w:cs="Arial"/>
          <w:color w:val="000000"/>
        </w:rPr>
        <w:t>MDA/CNDRS/NEAD), 2001. 108 p. Disponível</w:t>
      </w:r>
      <w:r w:rsidRPr="00720725">
        <w:rPr>
          <w:rFonts w:ascii="Arial" w:hAnsi="Arial" w:cs="Arial"/>
          <w:color w:val="000000"/>
        </w:rPr>
        <w:t xml:space="preserve"> </w:t>
      </w:r>
      <w:r w:rsidRPr="00720725">
        <w:rPr>
          <w:rFonts w:ascii="Arial" w:hAnsi="Arial" w:cs="Arial"/>
        </w:rPr>
        <w:lastRenderedPageBreak/>
        <w:t>em:</w:t>
      </w:r>
      <w:r w:rsidRPr="00720725">
        <w:rPr>
          <w:rFonts w:ascii="Arial" w:hAnsi="Arial" w:cs="Arial"/>
        </w:rPr>
        <w:t>&lt;</w:t>
      </w:r>
      <w:proofErr w:type="gramStart"/>
      <w:r w:rsidRPr="00720725">
        <w:rPr>
          <w:rFonts w:ascii="Arial" w:hAnsi="Arial" w:cs="Arial"/>
        </w:rPr>
        <w:t>http://www.nead.org.br/index.</w:t>
      </w:r>
      <w:proofErr w:type="gramEnd"/>
      <w:r w:rsidRPr="00720725">
        <w:rPr>
          <w:rFonts w:ascii="Arial" w:hAnsi="Arial" w:cs="Arial"/>
        </w:rPr>
        <w:t>php?</w:t>
      </w:r>
      <w:proofErr w:type="gramStart"/>
      <w:r w:rsidRPr="00720725">
        <w:rPr>
          <w:rFonts w:ascii="Arial" w:hAnsi="Arial" w:cs="Arial"/>
        </w:rPr>
        <w:t>acao</w:t>
      </w:r>
      <w:proofErr w:type="gramEnd"/>
      <w:r w:rsidRPr="00720725">
        <w:rPr>
          <w:rFonts w:ascii="Arial" w:hAnsi="Arial" w:cs="Arial"/>
        </w:rPr>
        <w:t>=bibliotecaepublicacaoID=112&gt;</w:t>
      </w:r>
      <w:r w:rsidRPr="00720725">
        <w:rPr>
          <w:rFonts w:ascii="Arial" w:hAnsi="Arial" w:cs="Arial"/>
          <w:color w:val="000000"/>
        </w:rPr>
        <w:t>.</w:t>
      </w:r>
      <w:r w:rsidRPr="00720725">
        <w:rPr>
          <w:rFonts w:ascii="Arial" w:hAnsi="Arial" w:cs="Arial"/>
          <w:color w:val="000000"/>
        </w:rPr>
        <w:t xml:space="preserve"> </w:t>
      </w:r>
      <w:proofErr w:type="spellStart"/>
      <w:r w:rsidRPr="00720725">
        <w:rPr>
          <w:rFonts w:ascii="Arial" w:hAnsi="Arial" w:cs="Arial"/>
          <w:color w:val="000000"/>
          <w:lang w:val="en-US"/>
        </w:rPr>
        <w:t>Acesso</w:t>
      </w:r>
      <w:proofErr w:type="spellEnd"/>
      <w:r w:rsidRPr="00720725">
        <w:rPr>
          <w:rFonts w:ascii="Arial" w:hAnsi="Arial" w:cs="Arial"/>
          <w:color w:val="000000"/>
          <w:lang w:val="en-US"/>
        </w:rPr>
        <w:t xml:space="preserve"> </w:t>
      </w:r>
      <w:proofErr w:type="spellStart"/>
      <w:r w:rsidRPr="00720725">
        <w:rPr>
          <w:rFonts w:ascii="Arial" w:hAnsi="Arial" w:cs="Arial"/>
          <w:color w:val="000000"/>
          <w:lang w:val="en-US"/>
        </w:rPr>
        <w:t>em</w:t>
      </w:r>
      <w:proofErr w:type="spellEnd"/>
      <w:r w:rsidRPr="00720725">
        <w:rPr>
          <w:rFonts w:ascii="Arial" w:hAnsi="Arial" w:cs="Arial"/>
          <w:color w:val="000000"/>
          <w:lang w:val="en-US"/>
        </w:rPr>
        <w:t xml:space="preserve"> 12 set. 2012</w:t>
      </w:r>
    </w:p>
    <w:p w:rsidR="00720725" w:rsidRPr="00720725" w:rsidRDefault="00720725" w:rsidP="00720725">
      <w:pPr>
        <w:shd w:val="clear" w:color="auto" w:fill="FFFFFF"/>
        <w:spacing w:after="240"/>
        <w:rPr>
          <w:rFonts w:ascii="Arial" w:eastAsia="Calibri" w:hAnsi="Arial" w:cs="Arial"/>
        </w:rPr>
      </w:pPr>
      <w:r w:rsidRPr="00720725">
        <w:rPr>
          <w:rFonts w:ascii="Arial" w:eastAsia="Calibri" w:hAnsi="Arial" w:cs="Arial"/>
        </w:rPr>
        <w:t xml:space="preserve">VEIGA, J. E. </w:t>
      </w:r>
      <w:proofErr w:type="gramStart"/>
      <w:r w:rsidRPr="00720725">
        <w:rPr>
          <w:rFonts w:ascii="Arial" w:eastAsia="Calibri" w:hAnsi="Arial" w:cs="Arial"/>
        </w:rPr>
        <w:t>da.</w:t>
      </w:r>
      <w:proofErr w:type="gramEnd"/>
      <w:r w:rsidRPr="00720725">
        <w:rPr>
          <w:rFonts w:ascii="Arial" w:eastAsia="Calibri" w:hAnsi="Arial" w:cs="Arial"/>
        </w:rPr>
        <w:t xml:space="preserve"> </w:t>
      </w:r>
      <w:r w:rsidRPr="00720725">
        <w:rPr>
          <w:rFonts w:ascii="Arial" w:eastAsia="Calibri" w:hAnsi="Arial" w:cs="Arial"/>
          <w:b/>
        </w:rPr>
        <w:t>A face rural do desenvolvimento</w:t>
      </w:r>
      <w:r w:rsidRPr="00720725">
        <w:rPr>
          <w:rFonts w:ascii="Arial" w:eastAsia="Calibri" w:hAnsi="Arial" w:cs="Arial"/>
        </w:rPr>
        <w:t>: natureza, território e agricultura. Porto Alegre: Editora da Universidade Federal do Rio Grande do Sul, 2000. 197p. (Série Estudos Rurais).</w:t>
      </w:r>
    </w:p>
    <w:p w:rsidR="00720725" w:rsidRDefault="00720725" w:rsidP="00720725">
      <w:pPr>
        <w:pStyle w:val="NormalWeb"/>
        <w:spacing w:after="240" w:afterAutospacing="0"/>
        <w:rPr>
          <w:rFonts w:ascii="Arial" w:hAnsi="Arial" w:cs="Arial"/>
          <w:color w:val="000000"/>
          <w:sz w:val="20"/>
          <w:szCs w:val="20"/>
        </w:rPr>
      </w:pPr>
      <w:r w:rsidRPr="00720725">
        <w:rPr>
          <w:rFonts w:ascii="Arial" w:hAnsi="Arial" w:cs="Arial"/>
          <w:color w:val="000000"/>
          <w:sz w:val="20"/>
          <w:szCs w:val="20"/>
        </w:rPr>
        <w:t>VILARINHO, M</w:t>
      </w:r>
      <w:r w:rsidR="00167F02">
        <w:rPr>
          <w:rFonts w:ascii="Arial" w:hAnsi="Arial" w:cs="Arial"/>
          <w:color w:val="000000"/>
          <w:sz w:val="20"/>
          <w:szCs w:val="20"/>
        </w:rPr>
        <w:t>.</w:t>
      </w:r>
      <w:r w:rsidRPr="00720725">
        <w:rPr>
          <w:rFonts w:ascii="Arial" w:hAnsi="Arial" w:cs="Arial"/>
          <w:color w:val="000000"/>
          <w:sz w:val="20"/>
          <w:szCs w:val="20"/>
        </w:rPr>
        <w:t xml:space="preserve"> R. </w:t>
      </w:r>
      <w:r w:rsidRPr="00167F02">
        <w:rPr>
          <w:rFonts w:ascii="Arial" w:hAnsi="Arial" w:cs="Arial"/>
          <w:b/>
          <w:color w:val="000000"/>
          <w:sz w:val="20"/>
          <w:szCs w:val="20"/>
        </w:rPr>
        <w:t>Questões sanitárias e o agronegócio brasileiro.</w:t>
      </w:r>
      <w:r w:rsidRPr="00720725">
        <w:rPr>
          <w:rFonts w:ascii="Arial" w:hAnsi="Arial" w:cs="Arial"/>
          <w:color w:val="000000"/>
          <w:sz w:val="20"/>
          <w:szCs w:val="20"/>
        </w:rPr>
        <w:t xml:space="preserve"> Disponível em: &lt;http://www.embrapa.br/embrapa/ &gt;. Acesso em: 09 jan.2009.</w:t>
      </w:r>
    </w:p>
    <w:p w:rsidR="00E47F02" w:rsidRDefault="00E47F02" w:rsidP="00720725">
      <w:pPr>
        <w:pStyle w:val="NormalWeb"/>
        <w:spacing w:after="240" w:afterAutospacing="0"/>
        <w:rPr>
          <w:rFonts w:ascii="Arial" w:hAnsi="Arial" w:cs="Arial"/>
          <w:color w:val="000000"/>
          <w:sz w:val="20"/>
          <w:szCs w:val="20"/>
        </w:rPr>
      </w:pPr>
    </w:p>
    <w:p w:rsidR="00E47F02" w:rsidRPr="00E47F02" w:rsidRDefault="00E47F02" w:rsidP="00E47F02">
      <w:pPr>
        <w:pStyle w:val="NormalWeb"/>
        <w:spacing w:after="240" w:afterAutospacing="0"/>
        <w:jc w:val="right"/>
        <w:rPr>
          <w:rFonts w:ascii="Arial" w:hAnsi="Arial" w:cs="Arial"/>
          <w:i/>
          <w:color w:val="000000"/>
          <w:sz w:val="20"/>
          <w:szCs w:val="20"/>
        </w:rPr>
      </w:pPr>
      <w:bookmarkStart w:id="0" w:name="_GoBack"/>
      <w:bookmarkEnd w:id="0"/>
      <w:r w:rsidRPr="00E47F02">
        <w:rPr>
          <w:rFonts w:ascii="Arial" w:hAnsi="Arial" w:cs="Arial"/>
          <w:i/>
          <w:color w:val="000000"/>
          <w:sz w:val="20"/>
          <w:szCs w:val="20"/>
        </w:rPr>
        <w:t>Prof. Dr. Daniel Bertoli Gonçalves – Universidade de Sorocaba – novembro de 2012</w:t>
      </w:r>
    </w:p>
    <w:sectPr w:rsidR="00E47F02" w:rsidRPr="00E47F0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E97349"/>
    <w:multiLevelType w:val="multilevel"/>
    <w:tmpl w:val="D2D0FFD2"/>
    <w:lvl w:ilvl="0">
      <w:start w:val="1"/>
      <w:numFmt w:val="decimal"/>
      <w:lvlText w:val="%1."/>
      <w:lvlJc w:val="left"/>
      <w:pPr>
        <w:tabs>
          <w:tab w:val="num" w:pos="360"/>
        </w:tabs>
        <w:ind w:left="360" w:hanging="360"/>
      </w:pPr>
    </w:lvl>
    <w:lvl w:ilvl="1">
      <w:start w:val="2"/>
      <w:numFmt w:val="decimal"/>
      <w:pStyle w:val="Normal"/>
      <w:isLgl/>
      <w:lvlText w:val="%1.%2."/>
      <w:lvlJc w:val="left"/>
      <w:pPr>
        <w:ind w:left="540" w:hanging="540"/>
      </w:pPr>
    </w:lvl>
    <w:lvl w:ilvl="2">
      <w:start w:val="2"/>
      <w:numFmt w:val="decimal"/>
      <w:pStyle w:val="Normal"/>
      <w:isLgl/>
      <w:lvlText w:val="%1.%2.%3."/>
      <w:lvlJc w:val="left"/>
      <w:pPr>
        <w:ind w:left="720" w:hanging="720"/>
      </w:pPr>
    </w:lvl>
    <w:lvl w:ilvl="3">
      <w:start w:val="1"/>
      <w:numFmt w:val="decimal"/>
      <w:pStyle w:val="Normal"/>
      <w:isLgl/>
      <w:lvlText w:val="%1.%2.%3.%4."/>
      <w:lvlJc w:val="left"/>
      <w:pPr>
        <w:ind w:left="720" w:hanging="720"/>
      </w:pPr>
    </w:lvl>
    <w:lvl w:ilvl="4">
      <w:start w:val="1"/>
      <w:numFmt w:val="decimal"/>
      <w:pStyle w:val="Normal"/>
      <w:isLgl/>
      <w:lvlText w:val="%1.%2.%3.%4.%5."/>
      <w:lvlJc w:val="left"/>
      <w:pPr>
        <w:ind w:left="1080" w:hanging="1080"/>
      </w:pPr>
    </w:lvl>
    <w:lvl w:ilvl="5">
      <w:start w:val="1"/>
      <w:numFmt w:val="decimal"/>
      <w:pStyle w:val="Normal"/>
      <w:isLgl/>
      <w:lvlText w:val="%1.%2.%3.%4.%5.%6."/>
      <w:lvlJc w:val="left"/>
      <w:pPr>
        <w:ind w:left="1080" w:hanging="1080"/>
      </w:pPr>
    </w:lvl>
    <w:lvl w:ilvl="6">
      <w:start w:val="1"/>
      <w:numFmt w:val="decimal"/>
      <w:pStyle w:val="Normal"/>
      <w:isLgl/>
      <w:lvlText w:val="%1.%2.%3.%4.%5.%6.%7."/>
      <w:lvlJc w:val="left"/>
      <w:pPr>
        <w:ind w:left="1440" w:hanging="1440"/>
      </w:pPr>
    </w:lvl>
    <w:lvl w:ilvl="7">
      <w:start w:val="1"/>
      <w:numFmt w:val="decimal"/>
      <w:pStyle w:val="Normal"/>
      <w:isLgl/>
      <w:lvlText w:val="%1.%2.%3.%4.%5.%6.%7.%8."/>
      <w:lvlJc w:val="left"/>
      <w:pPr>
        <w:ind w:left="1440" w:hanging="1440"/>
      </w:pPr>
    </w:lvl>
    <w:lvl w:ilvl="8">
      <w:start w:val="1"/>
      <w:numFmt w:val="decimal"/>
      <w:pStyle w:val="Normal"/>
      <w:isLgl/>
      <w:lvlText w:val="%1.%2.%3.%4.%5.%6.%7.%8.%9."/>
      <w:lvlJc w:val="left"/>
      <w:pPr>
        <w:ind w:left="1800" w:hanging="1800"/>
      </w:pPr>
    </w:lvl>
  </w:abstractNum>
  <w:num w:numId="1">
    <w:abstractNumId w:val="0"/>
    <w:lvlOverride w:ilvl="0">
      <w:startOverride w:val="1"/>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60EE"/>
    <w:rsid w:val="000660EE"/>
    <w:rsid w:val="0016008A"/>
    <w:rsid w:val="00167F02"/>
    <w:rsid w:val="002450A1"/>
    <w:rsid w:val="00326B79"/>
    <w:rsid w:val="00543B3B"/>
    <w:rsid w:val="00720725"/>
    <w:rsid w:val="00945111"/>
    <w:rsid w:val="00AF1327"/>
    <w:rsid w:val="00B0139B"/>
    <w:rsid w:val="00BF552D"/>
    <w:rsid w:val="00C265C1"/>
    <w:rsid w:val="00D54359"/>
    <w:rsid w:val="00E40328"/>
    <w:rsid w:val="00E47F0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60EE"/>
    <w:pPr>
      <w:spacing w:after="0" w:line="240" w:lineRule="auto"/>
    </w:pPr>
    <w:rPr>
      <w:rFonts w:ascii="Times New Roman" w:eastAsia="Times New Roman" w:hAnsi="Times New Roman" w:cs="Times New Roman"/>
      <w:sz w:val="20"/>
      <w:szCs w:val="20"/>
      <w:lang w:eastAsia="pt-BR"/>
    </w:rPr>
  </w:style>
  <w:style w:type="paragraph" w:styleId="Ttulo2">
    <w:name w:val="heading 2"/>
    <w:basedOn w:val="Normal"/>
    <w:next w:val="Normal"/>
    <w:link w:val="Ttulo2Char"/>
    <w:unhideWhenUsed/>
    <w:qFormat/>
    <w:rsid w:val="000660EE"/>
    <w:pPr>
      <w:keepNext/>
      <w:spacing w:line="360" w:lineRule="auto"/>
      <w:jc w:val="both"/>
      <w:outlineLvl w:val="1"/>
    </w:pPr>
    <w:rPr>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rsid w:val="000660EE"/>
    <w:rPr>
      <w:rFonts w:ascii="Times New Roman" w:eastAsia="Times New Roman" w:hAnsi="Times New Roman" w:cs="Times New Roman"/>
      <w:sz w:val="24"/>
      <w:szCs w:val="20"/>
      <w:lang w:eastAsia="pt-BR"/>
    </w:rPr>
  </w:style>
  <w:style w:type="character" w:styleId="Hyperlink">
    <w:name w:val="Hyperlink"/>
    <w:uiPriority w:val="99"/>
    <w:semiHidden/>
    <w:unhideWhenUsed/>
    <w:rsid w:val="000660EE"/>
    <w:rPr>
      <w:color w:val="0000FF"/>
      <w:u w:val="single"/>
    </w:rPr>
  </w:style>
  <w:style w:type="paragraph" w:styleId="NormalWeb">
    <w:name w:val="Normal (Web)"/>
    <w:basedOn w:val="Normal"/>
    <w:uiPriority w:val="99"/>
    <w:semiHidden/>
    <w:unhideWhenUsed/>
    <w:rsid w:val="000660EE"/>
    <w:pPr>
      <w:spacing w:before="100" w:beforeAutospacing="1" w:after="100" w:afterAutospacing="1"/>
    </w:pPr>
    <w:rPr>
      <w:sz w:val="24"/>
      <w:szCs w:val="24"/>
    </w:rPr>
  </w:style>
  <w:style w:type="paragraph" w:styleId="Cabealho">
    <w:name w:val="header"/>
    <w:basedOn w:val="Normal"/>
    <w:link w:val="CabealhoChar"/>
    <w:uiPriority w:val="99"/>
    <w:semiHidden/>
    <w:unhideWhenUsed/>
    <w:rsid w:val="000660EE"/>
    <w:pPr>
      <w:tabs>
        <w:tab w:val="center" w:pos="4419"/>
        <w:tab w:val="right" w:pos="8838"/>
      </w:tabs>
    </w:pPr>
    <w:rPr>
      <w:sz w:val="24"/>
      <w:szCs w:val="24"/>
      <w:lang w:val="x-none" w:eastAsia="x-none"/>
    </w:rPr>
  </w:style>
  <w:style w:type="character" w:customStyle="1" w:styleId="CabealhoChar">
    <w:name w:val="Cabeçalho Char"/>
    <w:basedOn w:val="Fontepargpadro"/>
    <w:link w:val="Cabealho"/>
    <w:uiPriority w:val="99"/>
    <w:semiHidden/>
    <w:rsid w:val="000660EE"/>
    <w:rPr>
      <w:rFonts w:ascii="Times New Roman" w:eastAsia="Times New Roman" w:hAnsi="Times New Roman" w:cs="Times New Roman"/>
      <w:sz w:val="24"/>
      <w:szCs w:val="24"/>
      <w:lang w:val="x-none" w:eastAsia="x-none"/>
    </w:rPr>
  </w:style>
  <w:style w:type="character" w:customStyle="1" w:styleId="apple-style-span">
    <w:name w:val="apple-style-span"/>
    <w:basedOn w:val="Fontepargpadro"/>
    <w:rsid w:val="000660EE"/>
  </w:style>
  <w:style w:type="character" w:customStyle="1" w:styleId="apple-converted-space">
    <w:name w:val="apple-converted-space"/>
    <w:basedOn w:val="Fontepargpadro"/>
    <w:rsid w:val="000660EE"/>
  </w:style>
  <w:style w:type="paragraph" w:styleId="Ttulo">
    <w:name w:val="Title"/>
    <w:basedOn w:val="Normal"/>
    <w:link w:val="TtuloChar"/>
    <w:uiPriority w:val="10"/>
    <w:qFormat/>
    <w:rsid w:val="00945111"/>
    <w:pPr>
      <w:spacing w:before="100" w:beforeAutospacing="1" w:after="100" w:afterAutospacing="1"/>
    </w:pPr>
    <w:rPr>
      <w:sz w:val="24"/>
      <w:szCs w:val="24"/>
    </w:rPr>
  </w:style>
  <w:style w:type="character" w:customStyle="1" w:styleId="TtuloChar">
    <w:name w:val="Título Char"/>
    <w:basedOn w:val="Fontepargpadro"/>
    <w:link w:val="Ttulo"/>
    <w:uiPriority w:val="10"/>
    <w:rsid w:val="00945111"/>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60EE"/>
    <w:pPr>
      <w:spacing w:after="0" w:line="240" w:lineRule="auto"/>
    </w:pPr>
    <w:rPr>
      <w:rFonts w:ascii="Times New Roman" w:eastAsia="Times New Roman" w:hAnsi="Times New Roman" w:cs="Times New Roman"/>
      <w:sz w:val="20"/>
      <w:szCs w:val="20"/>
      <w:lang w:eastAsia="pt-BR"/>
    </w:rPr>
  </w:style>
  <w:style w:type="paragraph" w:styleId="Ttulo2">
    <w:name w:val="heading 2"/>
    <w:basedOn w:val="Normal"/>
    <w:next w:val="Normal"/>
    <w:link w:val="Ttulo2Char"/>
    <w:unhideWhenUsed/>
    <w:qFormat/>
    <w:rsid w:val="000660EE"/>
    <w:pPr>
      <w:keepNext/>
      <w:spacing w:line="360" w:lineRule="auto"/>
      <w:jc w:val="both"/>
      <w:outlineLvl w:val="1"/>
    </w:pPr>
    <w:rPr>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rsid w:val="000660EE"/>
    <w:rPr>
      <w:rFonts w:ascii="Times New Roman" w:eastAsia="Times New Roman" w:hAnsi="Times New Roman" w:cs="Times New Roman"/>
      <w:sz w:val="24"/>
      <w:szCs w:val="20"/>
      <w:lang w:eastAsia="pt-BR"/>
    </w:rPr>
  </w:style>
  <w:style w:type="character" w:styleId="Hyperlink">
    <w:name w:val="Hyperlink"/>
    <w:uiPriority w:val="99"/>
    <w:semiHidden/>
    <w:unhideWhenUsed/>
    <w:rsid w:val="000660EE"/>
    <w:rPr>
      <w:color w:val="0000FF"/>
      <w:u w:val="single"/>
    </w:rPr>
  </w:style>
  <w:style w:type="paragraph" w:styleId="NormalWeb">
    <w:name w:val="Normal (Web)"/>
    <w:basedOn w:val="Normal"/>
    <w:uiPriority w:val="99"/>
    <w:semiHidden/>
    <w:unhideWhenUsed/>
    <w:rsid w:val="000660EE"/>
    <w:pPr>
      <w:spacing w:before="100" w:beforeAutospacing="1" w:after="100" w:afterAutospacing="1"/>
    </w:pPr>
    <w:rPr>
      <w:sz w:val="24"/>
      <w:szCs w:val="24"/>
    </w:rPr>
  </w:style>
  <w:style w:type="paragraph" w:styleId="Cabealho">
    <w:name w:val="header"/>
    <w:basedOn w:val="Normal"/>
    <w:link w:val="CabealhoChar"/>
    <w:uiPriority w:val="99"/>
    <w:semiHidden/>
    <w:unhideWhenUsed/>
    <w:rsid w:val="000660EE"/>
    <w:pPr>
      <w:tabs>
        <w:tab w:val="center" w:pos="4419"/>
        <w:tab w:val="right" w:pos="8838"/>
      </w:tabs>
    </w:pPr>
    <w:rPr>
      <w:sz w:val="24"/>
      <w:szCs w:val="24"/>
      <w:lang w:val="x-none" w:eastAsia="x-none"/>
    </w:rPr>
  </w:style>
  <w:style w:type="character" w:customStyle="1" w:styleId="CabealhoChar">
    <w:name w:val="Cabeçalho Char"/>
    <w:basedOn w:val="Fontepargpadro"/>
    <w:link w:val="Cabealho"/>
    <w:uiPriority w:val="99"/>
    <w:semiHidden/>
    <w:rsid w:val="000660EE"/>
    <w:rPr>
      <w:rFonts w:ascii="Times New Roman" w:eastAsia="Times New Roman" w:hAnsi="Times New Roman" w:cs="Times New Roman"/>
      <w:sz w:val="24"/>
      <w:szCs w:val="24"/>
      <w:lang w:val="x-none" w:eastAsia="x-none"/>
    </w:rPr>
  </w:style>
  <w:style w:type="character" w:customStyle="1" w:styleId="apple-style-span">
    <w:name w:val="apple-style-span"/>
    <w:basedOn w:val="Fontepargpadro"/>
    <w:rsid w:val="000660EE"/>
  </w:style>
  <w:style w:type="character" w:customStyle="1" w:styleId="apple-converted-space">
    <w:name w:val="apple-converted-space"/>
    <w:basedOn w:val="Fontepargpadro"/>
    <w:rsid w:val="000660EE"/>
  </w:style>
  <w:style w:type="paragraph" w:styleId="Ttulo">
    <w:name w:val="Title"/>
    <w:basedOn w:val="Normal"/>
    <w:link w:val="TtuloChar"/>
    <w:uiPriority w:val="10"/>
    <w:qFormat/>
    <w:rsid w:val="00945111"/>
    <w:pPr>
      <w:spacing w:before="100" w:beforeAutospacing="1" w:after="100" w:afterAutospacing="1"/>
    </w:pPr>
    <w:rPr>
      <w:sz w:val="24"/>
      <w:szCs w:val="24"/>
    </w:rPr>
  </w:style>
  <w:style w:type="character" w:customStyle="1" w:styleId="TtuloChar">
    <w:name w:val="Título Char"/>
    <w:basedOn w:val="Fontepargpadro"/>
    <w:link w:val="Ttulo"/>
    <w:uiPriority w:val="10"/>
    <w:rsid w:val="00945111"/>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0686541">
      <w:bodyDiv w:val="1"/>
      <w:marLeft w:val="0"/>
      <w:marRight w:val="0"/>
      <w:marTop w:val="0"/>
      <w:marBottom w:val="0"/>
      <w:divBdr>
        <w:top w:val="none" w:sz="0" w:space="0" w:color="auto"/>
        <w:left w:val="none" w:sz="0" w:space="0" w:color="auto"/>
        <w:bottom w:val="none" w:sz="0" w:space="0" w:color="auto"/>
        <w:right w:val="none" w:sz="0" w:space="0" w:color="auto"/>
      </w:divBdr>
    </w:div>
    <w:div w:id="563182701">
      <w:bodyDiv w:val="1"/>
      <w:marLeft w:val="0"/>
      <w:marRight w:val="0"/>
      <w:marTop w:val="0"/>
      <w:marBottom w:val="0"/>
      <w:divBdr>
        <w:top w:val="none" w:sz="0" w:space="0" w:color="auto"/>
        <w:left w:val="none" w:sz="0" w:space="0" w:color="auto"/>
        <w:bottom w:val="none" w:sz="0" w:space="0" w:color="auto"/>
        <w:right w:val="none" w:sz="0" w:space="0" w:color="auto"/>
      </w:divBdr>
    </w:div>
    <w:div w:id="896629912">
      <w:bodyDiv w:val="1"/>
      <w:marLeft w:val="0"/>
      <w:marRight w:val="0"/>
      <w:marTop w:val="0"/>
      <w:marBottom w:val="0"/>
      <w:divBdr>
        <w:top w:val="none" w:sz="0" w:space="0" w:color="auto"/>
        <w:left w:val="none" w:sz="0" w:space="0" w:color="auto"/>
        <w:bottom w:val="none" w:sz="0" w:space="0" w:color="auto"/>
        <w:right w:val="none" w:sz="0" w:space="0" w:color="auto"/>
      </w:divBdr>
    </w:div>
    <w:div w:id="1599799990">
      <w:bodyDiv w:val="1"/>
      <w:marLeft w:val="0"/>
      <w:marRight w:val="0"/>
      <w:marTop w:val="0"/>
      <w:marBottom w:val="0"/>
      <w:divBdr>
        <w:top w:val="none" w:sz="0" w:space="0" w:color="auto"/>
        <w:left w:val="none" w:sz="0" w:space="0" w:color="auto"/>
        <w:bottom w:val="none" w:sz="0" w:space="0" w:color="auto"/>
        <w:right w:val="none" w:sz="0" w:space="0" w:color="auto"/>
      </w:divBdr>
    </w:div>
    <w:div w:id="1826818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036F4C-F6C6-4F39-B6CE-9334129412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8</Pages>
  <Words>3346</Words>
  <Characters>18073</Characters>
  <Application>Microsoft Office Word</Application>
  <DocSecurity>0</DocSecurity>
  <Lines>150</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8</cp:revision>
  <dcterms:created xsi:type="dcterms:W3CDTF">2012-12-06T22:29:00Z</dcterms:created>
  <dcterms:modified xsi:type="dcterms:W3CDTF">2012-12-07T00:44:00Z</dcterms:modified>
</cp:coreProperties>
</file>