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5BE" w:rsidRDefault="003F65BE">
      <w:pPr>
        <w:spacing w:line="269" w:lineRule="exact"/>
        <w:rPr>
          <w:sz w:val="24"/>
          <w:szCs w:val="24"/>
        </w:rPr>
      </w:pPr>
    </w:p>
    <w:p w:rsidR="003F65BE" w:rsidRDefault="00CD6827">
      <w:pPr>
        <w:spacing w:line="234" w:lineRule="auto"/>
        <w:ind w:right="-433"/>
        <w:jc w:val="center"/>
        <w:rPr>
          <w:sz w:val="20"/>
          <w:szCs w:val="20"/>
        </w:rPr>
      </w:pPr>
      <w:r>
        <w:rPr>
          <w:rFonts w:eastAsia="Times New Roman"/>
          <w:b/>
          <w:bCs/>
          <w:sz w:val="24"/>
          <w:szCs w:val="24"/>
        </w:rPr>
        <w:t>INSTITUTO LUTERANO DE ENSINO SUPERIOR DE ITUMBIARA CURSO DE DIREITO</w:t>
      </w:r>
    </w:p>
    <w:p w:rsidR="003F65BE" w:rsidRDefault="003F65BE">
      <w:pPr>
        <w:spacing w:line="200" w:lineRule="exact"/>
        <w:rPr>
          <w:sz w:val="24"/>
          <w:szCs w:val="24"/>
        </w:rPr>
      </w:pPr>
    </w:p>
    <w:p w:rsidR="003F65BE" w:rsidRDefault="003F65BE">
      <w:pPr>
        <w:spacing w:line="349" w:lineRule="exact"/>
        <w:rPr>
          <w:sz w:val="24"/>
          <w:szCs w:val="24"/>
        </w:rPr>
      </w:pPr>
    </w:p>
    <w:p w:rsidR="003F65BE" w:rsidRDefault="00555A4C">
      <w:pPr>
        <w:ind w:left="3340"/>
        <w:rPr>
          <w:sz w:val="20"/>
          <w:szCs w:val="20"/>
        </w:rPr>
      </w:pPr>
      <w:r>
        <w:rPr>
          <w:rFonts w:eastAsia="Times New Roman"/>
          <w:sz w:val="24"/>
          <w:szCs w:val="24"/>
        </w:rPr>
        <w:t>HITHALLO ALMEIDA DIAS</w:t>
      </w: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64" w:lineRule="exact"/>
        <w:rPr>
          <w:sz w:val="24"/>
          <w:szCs w:val="24"/>
        </w:rPr>
      </w:pPr>
    </w:p>
    <w:p w:rsidR="003F65BE" w:rsidRDefault="00CD6827">
      <w:pPr>
        <w:spacing w:line="348" w:lineRule="auto"/>
        <w:ind w:right="-573"/>
        <w:jc w:val="center"/>
        <w:rPr>
          <w:sz w:val="20"/>
          <w:szCs w:val="20"/>
        </w:rPr>
      </w:pPr>
      <w:r>
        <w:rPr>
          <w:rFonts w:eastAsia="Times New Roman"/>
          <w:b/>
          <w:bCs/>
          <w:sz w:val="24"/>
          <w:szCs w:val="24"/>
        </w:rPr>
        <w:t>ESTUPRO DE VULNERÁVEL NOS CASOS DE CONSENTIMENTO DA VÍTIMA MENOR DE 14 ANOS</w:t>
      </w: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0" w:lineRule="exact"/>
        <w:rPr>
          <w:sz w:val="24"/>
          <w:szCs w:val="24"/>
        </w:rPr>
      </w:pPr>
    </w:p>
    <w:p w:rsidR="003F65BE" w:rsidRDefault="003F65BE">
      <w:pPr>
        <w:spacing w:line="203" w:lineRule="exact"/>
        <w:rPr>
          <w:sz w:val="24"/>
          <w:szCs w:val="24"/>
        </w:rPr>
      </w:pPr>
    </w:p>
    <w:p w:rsidR="003F65BE" w:rsidRDefault="00CD6827">
      <w:pPr>
        <w:ind w:right="-573"/>
        <w:jc w:val="center"/>
        <w:rPr>
          <w:sz w:val="20"/>
          <w:szCs w:val="20"/>
        </w:rPr>
      </w:pPr>
      <w:r>
        <w:rPr>
          <w:rFonts w:eastAsia="Times New Roman"/>
          <w:sz w:val="24"/>
          <w:szCs w:val="24"/>
        </w:rPr>
        <w:t>Itumbiara</w:t>
      </w:r>
    </w:p>
    <w:p w:rsidR="003F65BE" w:rsidRDefault="005D5ACE">
      <w:pPr>
        <w:ind w:right="-573"/>
        <w:jc w:val="center"/>
        <w:rPr>
          <w:sz w:val="20"/>
          <w:szCs w:val="20"/>
        </w:rPr>
      </w:pPr>
      <w:r>
        <w:rPr>
          <w:rFonts w:eastAsia="Times New Roman"/>
          <w:sz w:val="24"/>
          <w:szCs w:val="24"/>
        </w:rPr>
        <w:t>2016</w:t>
      </w:r>
    </w:p>
    <w:p w:rsidR="003F65BE" w:rsidRDefault="003F65BE">
      <w:pPr>
        <w:sectPr w:rsidR="003F65BE">
          <w:pgSz w:w="11900" w:h="16838"/>
          <w:pgMar w:top="1440" w:right="1440" w:bottom="783" w:left="1440" w:header="0" w:footer="0" w:gutter="0"/>
          <w:cols w:space="720" w:equalWidth="0">
            <w:col w:w="9026"/>
          </w:cols>
        </w:sectPr>
      </w:pPr>
    </w:p>
    <w:p w:rsidR="003F65BE" w:rsidRDefault="003F65BE">
      <w:pPr>
        <w:spacing w:line="252" w:lineRule="exact"/>
        <w:rPr>
          <w:sz w:val="20"/>
          <w:szCs w:val="20"/>
        </w:rPr>
      </w:pPr>
    </w:p>
    <w:p w:rsidR="003F65BE" w:rsidRDefault="005D5ACE">
      <w:pPr>
        <w:ind w:right="-259"/>
        <w:jc w:val="center"/>
        <w:rPr>
          <w:sz w:val="20"/>
          <w:szCs w:val="20"/>
        </w:rPr>
      </w:pPr>
      <w:r>
        <w:rPr>
          <w:rFonts w:eastAsia="Times New Roman"/>
          <w:sz w:val="24"/>
          <w:szCs w:val="24"/>
        </w:rPr>
        <w:t>HITHALLO ALMEIDA DIAS</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91" w:lineRule="exact"/>
        <w:rPr>
          <w:sz w:val="20"/>
          <w:szCs w:val="20"/>
        </w:rPr>
      </w:pPr>
    </w:p>
    <w:p w:rsidR="003F65BE" w:rsidRDefault="00CD6827">
      <w:pPr>
        <w:ind w:right="-259"/>
        <w:jc w:val="center"/>
        <w:rPr>
          <w:sz w:val="20"/>
          <w:szCs w:val="20"/>
        </w:rPr>
      </w:pPr>
      <w:r>
        <w:rPr>
          <w:rFonts w:eastAsia="Times New Roman"/>
          <w:b/>
          <w:bCs/>
          <w:sz w:val="23"/>
          <w:szCs w:val="23"/>
        </w:rPr>
        <w:t>ESTUPRO DE VULNERÁVEL NOS CASOS DE CONSENTIMENTO</w:t>
      </w:r>
    </w:p>
    <w:p w:rsidR="003F65BE" w:rsidRDefault="003F65BE">
      <w:pPr>
        <w:spacing w:line="137" w:lineRule="exact"/>
        <w:rPr>
          <w:sz w:val="20"/>
          <w:szCs w:val="20"/>
        </w:rPr>
      </w:pPr>
    </w:p>
    <w:p w:rsidR="003F65BE" w:rsidRDefault="00CD6827">
      <w:pPr>
        <w:ind w:right="-259"/>
        <w:jc w:val="center"/>
        <w:rPr>
          <w:sz w:val="20"/>
          <w:szCs w:val="20"/>
        </w:rPr>
      </w:pPr>
      <w:r>
        <w:rPr>
          <w:rFonts w:eastAsia="Times New Roman"/>
          <w:b/>
          <w:bCs/>
          <w:sz w:val="24"/>
          <w:szCs w:val="24"/>
        </w:rPr>
        <w:t>DA VÍTIMA MENOR DE 14 ANOS</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39" w:lineRule="exact"/>
        <w:rPr>
          <w:sz w:val="20"/>
          <w:szCs w:val="20"/>
        </w:rPr>
      </w:pPr>
    </w:p>
    <w:p w:rsidR="003F65BE" w:rsidRDefault="00CD6827">
      <w:pPr>
        <w:spacing w:line="237" w:lineRule="auto"/>
        <w:ind w:left="4520"/>
        <w:jc w:val="both"/>
        <w:rPr>
          <w:sz w:val="20"/>
          <w:szCs w:val="20"/>
        </w:rPr>
      </w:pPr>
      <w:r>
        <w:rPr>
          <w:rFonts w:eastAsia="Times New Roman"/>
          <w:sz w:val="24"/>
          <w:szCs w:val="24"/>
        </w:rPr>
        <w:t xml:space="preserve">Monografia apresentada como requisito para aprovação na disciplina TCC2, do 10º período do curso </w:t>
      </w:r>
      <w:r>
        <w:rPr>
          <w:rFonts w:eastAsia="Times New Roman"/>
          <w:sz w:val="24"/>
          <w:szCs w:val="24"/>
        </w:rPr>
        <w:t>de Bacharelado em Direito do Instituto Luterano de Ensino Superior de Itumbiara, com a finalidade de conclusão do curso.</w:t>
      </w:r>
    </w:p>
    <w:p w:rsidR="003F65BE" w:rsidRDefault="003F65BE">
      <w:pPr>
        <w:spacing w:line="260" w:lineRule="exact"/>
        <w:rPr>
          <w:sz w:val="20"/>
          <w:szCs w:val="20"/>
        </w:rPr>
      </w:pPr>
    </w:p>
    <w:p w:rsidR="003F65BE" w:rsidRDefault="00CD6827">
      <w:pPr>
        <w:ind w:left="4520"/>
        <w:rPr>
          <w:sz w:val="20"/>
          <w:szCs w:val="20"/>
        </w:rPr>
      </w:pPr>
      <w:r>
        <w:rPr>
          <w:rFonts w:eastAsia="Times New Roman"/>
          <w:sz w:val="24"/>
          <w:szCs w:val="24"/>
        </w:rPr>
        <w:t xml:space="preserve">Orientadora: </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21" w:lineRule="exact"/>
        <w:rPr>
          <w:sz w:val="20"/>
          <w:szCs w:val="20"/>
        </w:rPr>
      </w:pPr>
    </w:p>
    <w:p w:rsidR="003F65BE" w:rsidRDefault="00CD6827">
      <w:pPr>
        <w:ind w:right="-259"/>
        <w:jc w:val="center"/>
        <w:rPr>
          <w:sz w:val="20"/>
          <w:szCs w:val="20"/>
        </w:rPr>
      </w:pPr>
      <w:r>
        <w:rPr>
          <w:rFonts w:eastAsia="Times New Roman"/>
          <w:sz w:val="24"/>
          <w:szCs w:val="24"/>
        </w:rPr>
        <w:t>Itumbiara</w:t>
      </w:r>
    </w:p>
    <w:p w:rsidR="003F65BE" w:rsidRPr="00FA62F3" w:rsidRDefault="00FA62F3" w:rsidP="00FA62F3">
      <w:pPr>
        <w:ind w:right="-259"/>
        <w:jc w:val="center"/>
        <w:rPr>
          <w:sz w:val="20"/>
          <w:szCs w:val="20"/>
        </w:rPr>
        <w:sectPr w:rsidR="003F65BE" w:rsidRPr="00FA62F3">
          <w:pgSz w:w="11900" w:h="16838"/>
          <w:pgMar w:top="1440" w:right="1126" w:bottom="627" w:left="1440" w:header="0" w:footer="0" w:gutter="0"/>
          <w:cols w:space="720" w:equalWidth="0">
            <w:col w:w="9340"/>
          </w:cols>
        </w:sectPr>
      </w:pPr>
      <w:r>
        <w:rPr>
          <w:rFonts w:eastAsia="Times New Roman"/>
          <w:sz w:val="24"/>
          <w:szCs w:val="24"/>
        </w:rPr>
        <w:t>2016</w:t>
      </w:r>
    </w:p>
    <w:p w:rsidR="003F65BE" w:rsidRDefault="003F65BE">
      <w:pPr>
        <w:spacing w:line="200" w:lineRule="exact"/>
        <w:rPr>
          <w:sz w:val="20"/>
          <w:szCs w:val="20"/>
        </w:rPr>
      </w:pPr>
    </w:p>
    <w:p w:rsidR="003F65BE" w:rsidRDefault="003F65BE">
      <w:pPr>
        <w:spacing w:line="330" w:lineRule="exact"/>
        <w:rPr>
          <w:sz w:val="20"/>
          <w:szCs w:val="20"/>
        </w:rPr>
      </w:pPr>
    </w:p>
    <w:p w:rsidR="003F65BE" w:rsidRDefault="005D5ACE">
      <w:pPr>
        <w:ind w:right="-259"/>
        <w:jc w:val="center"/>
        <w:rPr>
          <w:sz w:val="20"/>
          <w:szCs w:val="20"/>
        </w:rPr>
      </w:pPr>
      <w:r>
        <w:rPr>
          <w:rFonts w:eastAsia="Times New Roman"/>
          <w:sz w:val="24"/>
          <w:szCs w:val="24"/>
        </w:rPr>
        <w:t>HITHALLO ALMEIDA DIAS</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85" w:lineRule="exact"/>
        <w:rPr>
          <w:sz w:val="20"/>
          <w:szCs w:val="20"/>
        </w:rPr>
      </w:pPr>
    </w:p>
    <w:p w:rsidR="003F65BE" w:rsidRDefault="00CD6827">
      <w:pPr>
        <w:ind w:right="-239"/>
        <w:jc w:val="center"/>
        <w:rPr>
          <w:sz w:val="20"/>
          <w:szCs w:val="20"/>
        </w:rPr>
      </w:pPr>
      <w:r>
        <w:rPr>
          <w:rFonts w:eastAsia="Times New Roman"/>
          <w:b/>
          <w:bCs/>
          <w:sz w:val="24"/>
          <w:szCs w:val="24"/>
        </w:rPr>
        <w:t>ESTUPRO DE VULNERÁVEL MENOR DE 14 ANOS</w:t>
      </w:r>
    </w:p>
    <w:p w:rsidR="003F65BE" w:rsidRDefault="003F65BE">
      <w:pPr>
        <w:spacing w:line="137" w:lineRule="exact"/>
        <w:rPr>
          <w:sz w:val="20"/>
          <w:szCs w:val="20"/>
        </w:rPr>
      </w:pPr>
    </w:p>
    <w:p w:rsidR="003F65BE" w:rsidRDefault="00CD6827">
      <w:pPr>
        <w:ind w:right="-259"/>
        <w:jc w:val="center"/>
        <w:rPr>
          <w:sz w:val="20"/>
          <w:szCs w:val="20"/>
        </w:rPr>
      </w:pPr>
      <w:r>
        <w:rPr>
          <w:rFonts w:eastAsia="Times New Roman"/>
          <w:b/>
          <w:bCs/>
          <w:sz w:val="24"/>
          <w:szCs w:val="24"/>
        </w:rPr>
        <w:t>NOS CASOS DE CONSENTIMENTO</w:t>
      </w:r>
      <w:r>
        <w:rPr>
          <w:rFonts w:eastAsia="Times New Roman"/>
          <w:b/>
          <w:bCs/>
          <w:sz w:val="24"/>
          <w:szCs w:val="24"/>
        </w:rPr>
        <w:t xml:space="preserve"> DA VÍTIMA</w:t>
      </w:r>
    </w:p>
    <w:p w:rsidR="003F65BE" w:rsidRDefault="003F65BE">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FA62F3" w:rsidRDefault="00FA62F3">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4" w:lineRule="exact"/>
        <w:rPr>
          <w:sz w:val="20"/>
          <w:szCs w:val="20"/>
        </w:rPr>
      </w:pPr>
    </w:p>
    <w:p w:rsidR="003F65BE" w:rsidRDefault="00CD6827">
      <w:pPr>
        <w:spacing w:line="237" w:lineRule="auto"/>
        <w:ind w:left="4520"/>
        <w:jc w:val="both"/>
        <w:rPr>
          <w:sz w:val="20"/>
          <w:szCs w:val="20"/>
        </w:rPr>
      </w:pPr>
      <w:r>
        <w:rPr>
          <w:rFonts w:eastAsia="Times New Roman"/>
          <w:sz w:val="24"/>
          <w:szCs w:val="24"/>
        </w:rPr>
        <w:lastRenderedPageBreak/>
        <w:t>Monografia apresentada como requisito para aprovação na disciplina TCC2, do 10º período do curso de Bacharelado em Direito do Instituto Luterano de Ensino Superior de Itumbiara, com a finalidade de conclusão do curso.</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0" w:lineRule="exact"/>
        <w:rPr>
          <w:sz w:val="20"/>
          <w:szCs w:val="20"/>
        </w:rPr>
      </w:pPr>
    </w:p>
    <w:p w:rsidR="003F65BE" w:rsidRDefault="003F65B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5D5ACE" w:rsidRDefault="005D5ACE">
      <w:pPr>
        <w:spacing w:line="276" w:lineRule="exact"/>
        <w:rPr>
          <w:sz w:val="20"/>
          <w:szCs w:val="20"/>
        </w:rPr>
      </w:pPr>
    </w:p>
    <w:p w:rsidR="003F65BE" w:rsidRDefault="00CD6827">
      <w:pPr>
        <w:ind w:right="-259"/>
        <w:jc w:val="center"/>
        <w:rPr>
          <w:sz w:val="20"/>
          <w:szCs w:val="20"/>
        </w:rPr>
      </w:pPr>
      <w:r>
        <w:rPr>
          <w:rFonts w:eastAsia="Times New Roman"/>
          <w:sz w:val="24"/>
          <w:szCs w:val="24"/>
        </w:rPr>
        <w:t>Itumbiara</w:t>
      </w:r>
    </w:p>
    <w:p w:rsidR="003F65BE" w:rsidRDefault="005D5ACE">
      <w:pPr>
        <w:ind w:right="-259"/>
        <w:jc w:val="center"/>
        <w:rPr>
          <w:sz w:val="20"/>
          <w:szCs w:val="20"/>
        </w:rPr>
      </w:pPr>
      <w:r>
        <w:rPr>
          <w:rFonts w:eastAsia="Times New Roman"/>
          <w:sz w:val="24"/>
          <w:szCs w:val="24"/>
        </w:rPr>
        <w:t>2016</w:t>
      </w:r>
    </w:p>
    <w:p w:rsidR="003F65BE" w:rsidRDefault="003F65BE">
      <w:pPr>
        <w:sectPr w:rsidR="003F65BE">
          <w:pgSz w:w="11900" w:h="16838"/>
          <w:pgMar w:top="1440" w:right="1126" w:bottom="905" w:left="1440" w:header="0" w:footer="0" w:gutter="0"/>
          <w:cols w:space="720" w:equalWidth="0">
            <w:col w:w="9340"/>
          </w:cols>
        </w:sectPr>
      </w:pPr>
    </w:p>
    <w:p w:rsidR="003F65BE" w:rsidRDefault="003F65BE">
      <w:pPr>
        <w:spacing w:line="257" w:lineRule="exact"/>
        <w:rPr>
          <w:sz w:val="20"/>
          <w:szCs w:val="20"/>
        </w:rPr>
      </w:pPr>
    </w:p>
    <w:p w:rsidR="003F65BE" w:rsidRDefault="00CD6827">
      <w:pPr>
        <w:ind w:right="-259"/>
        <w:jc w:val="center"/>
        <w:rPr>
          <w:sz w:val="20"/>
          <w:szCs w:val="20"/>
        </w:rPr>
      </w:pPr>
      <w:r>
        <w:rPr>
          <w:rFonts w:eastAsia="Times New Roman"/>
          <w:b/>
          <w:bCs/>
          <w:sz w:val="24"/>
          <w:szCs w:val="24"/>
        </w:rPr>
        <w:t>RESUMO</w:t>
      </w:r>
    </w:p>
    <w:p w:rsidR="003F65BE" w:rsidRDefault="003F65BE">
      <w:pPr>
        <w:spacing w:line="200" w:lineRule="exact"/>
        <w:rPr>
          <w:sz w:val="20"/>
          <w:szCs w:val="20"/>
        </w:rPr>
      </w:pPr>
    </w:p>
    <w:p w:rsidR="003F65BE" w:rsidRDefault="003F65BE">
      <w:pPr>
        <w:spacing w:line="359" w:lineRule="exact"/>
        <w:rPr>
          <w:sz w:val="20"/>
          <w:szCs w:val="20"/>
        </w:rPr>
      </w:pPr>
    </w:p>
    <w:p w:rsidR="003F65BE" w:rsidRDefault="00CD6827">
      <w:pPr>
        <w:spacing w:line="239" w:lineRule="auto"/>
        <w:ind w:left="260"/>
        <w:jc w:val="both"/>
        <w:rPr>
          <w:sz w:val="20"/>
          <w:szCs w:val="20"/>
        </w:rPr>
      </w:pPr>
      <w:r>
        <w:rPr>
          <w:rFonts w:eastAsia="Times New Roman"/>
          <w:sz w:val="24"/>
          <w:szCs w:val="24"/>
        </w:rPr>
        <w:t>O presente trabalho pretende demonstrar que o consentimento da vítima menor de 14 anos descaracteriza o estupro de vulnerável, previsto no artigo 217-A do Código Penal vigente. A forma de pesquisa utilizada neste estudo foi a pesquisa teórica consistente n</w:t>
      </w:r>
      <w:r>
        <w:rPr>
          <w:rFonts w:eastAsia="Times New Roman"/>
          <w:sz w:val="24"/>
          <w:szCs w:val="24"/>
        </w:rPr>
        <w:t>a revisão bibliográfica sobre estupro de vulnerável, previsto no artigo 217-A do Código Penal, Lei 12.015, de 7 de agosto de 2009. Importante lembrar que a Lei 12.015/2009 alterou o Título referente aos crimes sexuais. A aplicação desta lei acarretou inten</w:t>
      </w:r>
      <w:r>
        <w:rPr>
          <w:rFonts w:eastAsia="Times New Roman"/>
          <w:sz w:val="24"/>
          <w:szCs w:val="24"/>
        </w:rPr>
        <w:t>sas mudanças no cenário penal do Brasil, as quais também foram elemento de estudo deste trabalho. O estupro se manifesta de diferentes formas, não se restringindo, portanto, ao comportamento de se constranger a vítima a praticar conjunção carnal ou qualque</w:t>
      </w:r>
      <w:r>
        <w:rPr>
          <w:rFonts w:eastAsia="Times New Roman"/>
          <w:sz w:val="24"/>
          <w:szCs w:val="24"/>
        </w:rPr>
        <w:t>r ato libidinoso. Caracteriza-se o estupro também quando a vítima, apesar de visivelmente aprovar o ato, não está em plenas condições de oferecer resistência. Alguns estudiosos entendem que, para que haja a caracterização do crime de estupro de vulnerável,</w:t>
      </w:r>
      <w:r>
        <w:rPr>
          <w:rFonts w:eastAsia="Times New Roman"/>
          <w:sz w:val="24"/>
          <w:szCs w:val="24"/>
        </w:rPr>
        <w:t xml:space="preserve"> previsto no artigo 217-A, </w:t>
      </w:r>
      <w:r>
        <w:rPr>
          <w:rFonts w:eastAsia="Times New Roman"/>
          <w:i/>
          <w:iCs/>
          <w:sz w:val="24"/>
          <w:szCs w:val="24"/>
        </w:rPr>
        <w:t>caput</w:t>
      </w:r>
      <w:r>
        <w:rPr>
          <w:rFonts w:eastAsia="Times New Roman"/>
          <w:sz w:val="24"/>
          <w:szCs w:val="24"/>
        </w:rPr>
        <w:t xml:space="preserve"> do Código Penal, basta que o autor tenha conjunção carnal ou pratique qualquer ato libidinoso com pessoa menor de 14 anos. O consentimento da vítima, sua casual experiência sexual anterior ou a existência de relacionamento amoroso entre o autor e a vítima</w:t>
      </w:r>
      <w:r>
        <w:rPr>
          <w:rFonts w:eastAsia="Times New Roman"/>
          <w:sz w:val="24"/>
          <w:szCs w:val="24"/>
        </w:rPr>
        <w:t xml:space="preserve"> não afastam a ocorrência do crime. Diante de um caso concreto visto neste estudo, descaracteriza o estupro de vulnerável decorrente de relacionamento amoroso, sendo as relações sexuais consentidas pela vítima, bem como o fato de estarem convivendo em "uni</w:t>
      </w:r>
      <w:r>
        <w:rPr>
          <w:rFonts w:eastAsia="Times New Roman"/>
          <w:sz w:val="24"/>
          <w:szCs w:val="24"/>
        </w:rPr>
        <w:t xml:space="preserve">ão estável", e com pretensão de contrair matrimônio. Portanto, considera-se que a vulnerabilidade da vítima, dependendo da época dos fatos, seja relativa, e assim, uma das elementares desse tipo de estupro deixaria de existir e que, por consequência induz </w:t>
      </w:r>
      <w:r>
        <w:rPr>
          <w:rFonts w:eastAsia="Times New Roman"/>
          <w:sz w:val="24"/>
          <w:szCs w:val="24"/>
        </w:rPr>
        <w:t>ao erro de tipo, hipótese prevista no artigo 386, inciso III, do Código de Processo Penal.</w:t>
      </w:r>
    </w:p>
    <w:p w:rsidR="003F65BE" w:rsidRDefault="003F65BE">
      <w:pPr>
        <w:spacing w:line="200" w:lineRule="exact"/>
        <w:rPr>
          <w:sz w:val="20"/>
          <w:szCs w:val="20"/>
        </w:rPr>
      </w:pPr>
    </w:p>
    <w:p w:rsidR="003F65BE" w:rsidRDefault="003F65BE">
      <w:pPr>
        <w:spacing w:line="364" w:lineRule="exact"/>
        <w:rPr>
          <w:sz w:val="20"/>
          <w:szCs w:val="20"/>
        </w:rPr>
      </w:pPr>
    </w:p>
    <w:p w:rsidR="003F65BE" w:rsidRDefault="00CD6827">
      <w:pPr>
        <w:ind w:left="260"/>
        <w:rPr>
          <w:sz w:val="20"/>
          <w:szCs w:val="20"/>
        </w:rPr>
      </w:pPr>
      <w:r>
        <w:rPr>
          <w:rFonts w:eastAsia="Times New Roman"/>
          <w:b/>
          <w:bCs/>
          <w:sz w:val="24"/>
          <w:szCs w:val="24"/>
        </w:rPr>
        <w:t xml:space="preserve">Palavras-chave: </w:t>
      </w:r>
      <w:r>
        <w:rPr>
          <w:rFonts w:eastAsia="Times New Roman"/>
          <w:sz w:val="24"/>
          <w:szCs w:val="24"/>
        </w:rPr>
        <w:t>Crime. Conjunção carnal. Estupro de vulnerável. Consentimento da vítima.</w:t>
      </w:r>
    </w:p>
    <w:p w:rsidR="003F65BE" w:rsidRDefault="003F65BE">
      <w:pPr>
        <w:sectPr w:rsidR="003F65BE">
          <w:pgSz w:w="11900" w:h="16838"/>
          <w:pgMar w:top="1440" w:right="1126" w:bottom="1440" w:left="1440" w:header="0" w:footer="0" w:gutter="0"/>
          <w:cols w:space="720" w:equalWidth="0">
            <w:col w:w="9340"/>
          </w:cols>
        </w:sectPr>
      </w:pPr>
    </w:p>
    <w:p w:rsidR="003F65BE" w:rsidRDefault="003F65BE">
      <w:pPr>
        <w:spacing w:line="257" w:lineRule="exact"/>
        <w:rPr>
          <w:sz w:val="20"/>
          <w:szCs w:val="20"/>
        </w:rPr>
      </w:pPr>
    </w:p>
    <w:p w:rsidR="003F65BE" w:rsidRDefault="00CD6827">
      <w:pPr>
        <w:ind w:right="-259"/>
        <w:jc w:val="center"/>
        <w:rPr>
          <w:sz w:val="20"/>
          <w:szCs w:val="20"/>
        </w:rPr>
      </w:pPr>
      <w:r>
        <w:rPr>
          <w:rFonts w:eastAsia="Times New Roman"/>
          <w:b/>
          <w:bCs/>
          <w:sz w:val="24"/>
          <w:szCs w:val="24"/>
        </w:rPr>
        <w:t>ABSTRACT</w:t>
      </w:r>
    </w:p>
    <w:p w:rsidR="003F65BE" w:rsidRDefault="003F65BE">
      <w:pPr>
        <w:spacing w:line="200" w:lineRule="exact"/>
        <w:rPr>
          <w:sz w:val="20"/>
          <w:szCs w:val="20"/>
        </w:rPr>
      </w:pPr>
    </w:p>
    <w:p w:rsidR="003F65BE" w:rsidRDefault="003F65BE">
      <w:pPr>
        <w:spacing w:line="359" w:lineRule="exact"/>
        <w:rPr>
          <w:sz w:val="20"/>
          <w:szCs w:val="20"/>
        </w:rPr>
      </w:pPr>
    </w:p>
    <w:p w:rsidR="003F65BE" w:rsidRDefault="00CD6827">
      <w:pPr>
        <w:spacing w:line="239" w:lineRule="auto"/>
        <w:ind w:left="260"/>
        <w:jc w:val="both"/>
        <w:rPr>
          <w:sz w:val="20"/>
          <w:szCs w:val="20"/>
        </w:rPr>
      </w:pPr>
      <w:r>
        <w:rPr>
          <w:rFonts w:eastAsia="Times New Roman"/>
          <w:sz w:val="24"/>
          <w:szCs w:val="24"/>
        </w:rPr>
        <w:t xml:space="preserve">This paper aims to demonstrate that the </w:t>
      </w:r>
      <w:r>
        <w:rPr>
          <w:rFonts w:eastAsia="Times New Roman"/>
          <w:sz w:val="24"/>
          <w:szCs w:val="24"/>
        </w:rPr>
        <w:t>consent of the victim less than 14 years, mischaracterizes the vulnerable rape, provided for in art. 217-A of the Penal Code. The survey form used in this study was consistent theoretical research in the literature review on vulnerable of rape, provided fo</w:t>
      </w:r>
      <w:r>
        <w:rPr>
          <w:rFonts w:eastAsia="Times New Roman"/>
          <w:sz w:val="24"/>
          <w:szCs w:val="24"/>
        </w:rPr>
        <w:t>r in art. 217 of the Penal Code, Law 12 015 of 7 August 2009. Important to remember that the Law 12,015 / 2009 changed the title referring to sex crimes. The application of this law led to intense changes in the criminal scene in Brazil, which were also st</w:t>
      </w:r>
      <w:r>
        <w:rPr>
          <w:rFonts w:eastAsia="Times New Roman"/>
          <w:sz w:val="24"/>
          <w:szCs w:val="24"/>
        </w:rPr>
        <w:t>udy of this work. Rape is manifested in different ways, not limited thus constrain the behavior of the victim to have sexual intercourse or lewd acts. Characterized rape as well as the victim, although visibly approve the act, it is not fully able to resis</w:t>
      </w:r>
      <w:r>
        <w:rPr>
          <w:rFonts w:eastAsia="Times New Roman"/>
          <w:sz w:val="24"/>
          <w:szCs w:val="24"/>
        </w:rPr>
        <w:t>t. Some scholars believe that, so there is the characterization of vulnerable crime of rape, provided for in art. 217-A, main section of the Criminal Code, it is enough that the author has carnal knowledge or practice any libidinous act with person under 1</w:t>
      </w:r>
      <w:r>
        <w:rPr>
          <w:rFonts w:eastAsia="Times New Roman"/>
          <w:sz w:val="24"/>
          <w:szCs w:val="24"/>
        </w:rPr>
        <w:t>4 years. The consent of the victim, his casual previous sexual experience or the existence of loving relationship between the author and the victim does not rule out the occurrence of the crime. Faced with a case seen in this study, mischaracterizes the vu</w:t>
      </w:r>
      <w:r>
        <w:rPr>
          <w:rFonts w:eastAsia="Times New Roman"/>
          <w:sz w:val="24"/>
          <w:szCs w:val="24"/>
        </w:rPr>
        <w:t>lnerable rape resulting from loving relationship, and the consensual sex by the victim as well as the fact that they are living in "stable union" and intend to marry. Therefore, it is considered that the vulnerability of the victim, depending on the time o</w:t>
      </w:r>
      <w:r>
        <w:rPr>
          <w:rFonts w:eastAsia="Times New Roman"/>
          <w:sz w:val="24"/>
          <w:szCs w:val="24"/>
        </w:rPr>
        <w:t>f the facts, be relative, and thus one of the fundamental of this type of rape would cease to exist, which consequently leads to error, hypothesis provided for in Article 386, section III of the Criminal Procedure Code.</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0" w:lineRule="exact"/>
        <w:rPr>
          <w:sz w:val="20"/>
          <w:szCs w:val="20"/>
        </w:rPr>
      </w:pPr>
    </w:p>
    <w:p w:rsidR="003F65BE" w:rsidRDefault="00CD6827">
      <w:pPr>
        <w:ind w:left="260"/>
        <w:rPr>
          <w:sz w:val="20"/>
          <w:szCs w:val="20"/>
        </w:rPr>
      </w:pPr>
      <w:r>
        <w:rPr>
          <w:rFonts w:eastAsia="Times New Roman"/>
          <w:b/>
          <w:bCs/>
          <w:sz w:val="24"/>
          <w:szCs w:val="24"/>
        </w:rPr>
        <w:t xml:space="preserve">Keywords: </w:t>
      </w:r>
      <w:r>
        <w:rPr>
          <w:rFonts w:eastAsia="Times New Roman"/>
          <w:sz w:val="24"/>
          <w:szCs w:val="24"/>
        </w:rPr>
        <w:t>Crime. Carnal knowledg</w:t>
      </w:r>
      <w:r>
        <w:rPr>
          <w:rFonts w:eastAsia="Times New Roman"/>
          <w:sz w:val="24"/>
          <w:szCs w:val="24"/>
        </w:rPr>
        <w:t>e. Rape vulnerable. Victim's consent.</w:t>
      </w:r>
    </w:p>
    <w:p w:rsidR="003F65BE" w:rsidRDefault="003F65BE">
      <w:pPr>
        <w:sectPr w:rsidR="003F65BE">
          <w:pgSz w:w="11900" w:h="16838"/>
          <w:pgMar w:top="1440" w:right="1126" w:bottom="1440" w:left="1440" w:header="0" w:footer="0" w:gutter="0"/>
          <w:cols w:space="720" w:equalWidth="0">
            <w:col w:w="9340"/>
          </w:cols>
        </w:sectPr>
      </w:pPr>
    </w:p>
    <w:p w:rsidR="003F65BE" w:rsidRDefault="003F65BE">
      <w:pPr>
        <w:spacing w:line="257"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520"/>
        <w:gridCol w:w="7820"/>
        <w:gridCol w:w="740"/>
      </w:tblGrid>
      <w:tr w:rsidR="003F65BE">
        <w:trPr>
          <w:trHeight w:val="276"/>
        </w:trPr>
        <w:tc>
          <w:tcPr>
            <w:tcW w:w="520" w:type="dxa"/>
            <w:vAlign w:val="bottom"/>
          </w:tcPr>
          <w:p w:rsidR="003F65BE" w:rsidRDefault="003F65BE">
            <w:pPr>
              <w:rPr>
                <w:sz w:val="23"/>
                <w:szCs w:val="23"/>
              </w:rPr>
            </w:pPr>
          </w:p>
        </w:tc>
        <w:tc>
          <w:tcPr>
            <w:tcW w:w="7820" w:type="dxa"/>
            <w:vAlign w:val="bottom"/>
          </w:tcPr>
          <w:p w:rsidR="003F65BE" w:rsidRDefault="00CD6827">
            <w:pPr>
              <w:ind w:left="3440"/>
              <w:rPr>
                <w:sz w:val="20"/>
                <w:szCs w:val="20"/>
              </w:rPr>
            </w:pPr>
            <w:r>
              <w:rPr>
                <w:rFonts w:eastAsia="Times New Roman"/>
                <w:b/>
                <w:bCs/>
                <w:sz w:val="24"/>
                <w:szCs w:val="24"/>
              </w:rPr>
              <w:t>SUMÁRIO</w:t>
            </w:r>
          </w:p>
        </w:tc>
        <w:tc>
          <w:tcPr>
            <w:tcW w:w="740" w:type="dxa"/>
            <w:vAlign w:val="bottom"/>
          </w:tcPr>
          <w:p w:rsidR="003F65BE" w:rsidRDefault="003F65BE">
            <w:pPr>
              <w:rPr>
                <w:sz w:val="23"/>
                <w:szCs w:val="23"/>
              </w:rPr>
            </w:pPr>
          </w:p>
        </w:tc>
      </w:tr>
      <w:tr w:rsidR="003F65BE">
        <w:trPr>
          <w:trHeight w:val="823"/>
        </w:trPr>
        <w:tc>
          <w:tcPr>
            <w:tcW w:w="8340" w:type="dxa"/>
            <w:gridSpan w:val="2"/>
            <w:vAlign w:val="bottom"/>
          </w:tcPr>
          <w:p w:rsidR="003F65BE" w:rsidRDefault="00CD6827">
            <w:pPr>
              <w:rPr>
                <w:sz w:val="20"/>
                <w:szCs w:val="20"/>
              </w:rPr>
            </w:pPr>
            <w:r>
              <w:rPr>
                <w:rFonts w:eastAsia="Times New Roman"/>
                <w:b/>
                <w:bCs/>
                <w:sz w:val="24"/>
                <w:szCs w:val="24"/>
              </w:rPr>
              <w:t>INTRODUÇÃO</w:t>
            </w:r>
          </w:p>
        </w:tc>
        <w:tc>
          <w:tcPr>
            <w:tcW w:w="740" w:type="dxa"/>
            <w:vAlign w:val="bottom"/>
          </w:tcPr>
          <w:p w:rsidR="003F65BE" w:rsidRDefault="00CD6827">
            <w:pPr>
              <w:jc w:val="right"/>
              <w:rPr>
                <w:sz w:val="20"/>
                <w:szCs w:val="20"/>
              </w:rPr>
            </w:pPr>
            <w:r>
              <w:rPr>
                <w:rFonts w:eastAsia="Times New Roman"/>
                <w:sz w:val="24"/>
                <w:szCs w:val="24"/>
              </w:rPr>
              <w:t>08</w:t>
            </w:r>
          </w:p>
        </w:tc>
      </w:tr>
      <w:tr w:rsidR="003F65BE">
        <w:trPr>
          <w:trHeight w:val="276"/>
        </w:trPr>
        <w:tc>
          <w:tcPr>
            <w:tcW w:w="8340" w:type="dxa"/>
            <w:gridSpan w:val="2"/>
            <w:vAlign w:val="bottom"/>
          </w:tcPr>
          <w:p w:rsidR="003F65BE" w:rsidRDefault="00CD6827">
            <w:pPr>
              <w:rPr>
                <w:sz w:val="20"/>
                <w:szCs w:val="20"/>
              </w:rPr>
            </w:pPr>
            <w:r>
              <w:rPr>
                <w:rFonts w:eastAsia="Times New Roman"/>
                <w:b/>
                <w:bCs/>
                <w:sz w:val="24"/>
                <w:szCs w:val="24"/>
              </w:rPr>
              <w:t>1. ANÁLISE JURÍDICA DO CRIME DE ESTUPRO DE VULNERÁVEL</w:t>
            </w:r>
          </w:p>
        </w:tc>
        <w:tc>
          <w:tcPr>
            <w:tcW w:w="740" w:type="dxa"/>
            <w:vAlign w:val="bottom"/>
          </w:tcPr>
          <w:p w:rsidR="003F65BE" w:rsidRDefault="00CD6827">
            <w:pPr>
              <w:jc w:val="right"/>
              <w:rPr>
                <w:sz w:val="20"/>
                <w:szCs w:val="20"/>
              </w:rPr>
            </w:pPr>
            <w:r>
              <w:rPr>
                <w:rFonts w:eastAsia="Times New Roman"/>
                <w:sz w:val="24"/>
                <w:szCs w:val="24"/>
              </w:rPr>
              <w:t>11</w:t>
            </w:r>
          </w:p>
        </w:tc>
      </w:tr>
      <w:tr w:rsidR="003F65BE">
        <w:trPr>
          <w:trHeight w:val="276"/>
        </w:trPr>
        <w:tc>
          <w:tcPr>
            <w:tcW w:w="8340" w:type="dxa"/>
            <w:gridSpan w:val="2"/>
            <w:vAlign w:val="bottom"/>
          </w:tcPr>
          <w:p w:rsidR="003F65BE" w:rsidRDefault="00CD6827">
            <w:pPr>
              <w:rPr>
                <w:sz w:val="20"/>
                <w:szCs w:val="20"/>
              </w:rPr>
            </w:pPr>
            <w:r>
              <w:rPr>
                <w:rFonts w:eastAsia="Times New Roman"/>
                <w:sz w:val="24"/>
                <w:szCs w:val="24"/>
              </w:rPr>
              <w:t>1.1 - Estupro de menor de 14 anos antes da Lei n° 12.015, de 7 de Agosto de 2009</w:t>
            </w:r>
          </w:p>
        </w:tc>
        <w:tc>
          <w:tcPr>
            <w:tcW w:w="740" w:type="dxa"/>
            <w:vAlign w:val="bottom"/>
          </w:tcPr>
          <w:p w:rsidR="003F65BE" w:rsidRDefault="00CD6827">
            <w:pPr>
              <w:jc w:val="right"/>
              <w:rPr>
                <w:sz w:val="20"/>
                <w:szCs w:val="20"/>
              </w:rPr>
            </w:pPr>
            <w:r>
              <w:rPr>
                <w:rFonts w:eastAsia="Times New Roman"/>
                <w:sz w:val="24"/>
                <w:szCs w:val="24"/>
              </w:rPr>
              <w:t>11</w:t>
            </w:r>
          </w:p>
        </w:tc>
      </w:tr>
      <w:tr w:rsidR="003F65BE">
        <w:trPr>
          <w:trHeight w:val="276"/>
        </w:trPr>
        <w:tc>
          <w:tcPr>
            <w:tcW w:w="8340" w:type="dxa"/>
            <w:gridSpan w:val="2"/>
            <w:vAlign w:val="bottom"/>
          </w:tcPr>
          <w:p w:rsidR="003F65BE" w:rsidRDefault="00CD6827">
            <w:pPr>
              <w:rPr>
                <w:sz w:val="20"/>
                <w:szCs w:val="20"/>
              </w:rPr>
            </w:pPr>
            <w:r>
              <w:rPr>
                <w:rFonts w:eastAsia="Times New Roman"/>
                <w:sz w:val="24"/>
                <w:szCs w:val="24"/>
              </w:rPr>
              <w:t xml:space="preserve">1.2 - Estupro de menor de </w:t>
            </w:r>
            <w:r>
              <w:rPr>
                <w:rFonts w:eastAsia="Times New Roman"/>
                <w:sz w:val="24"/>
                <w:szCs w:val="24"/>
              </w:rPr>
              <w:t>14 anos após a Lei n° 12.015, de 7 de Agosto de 2009</w:t>
            </w:r>
          </w:p>
        </w:tc>
        <w:tc>
          <w:tcPr>
            <w:tcW w:w="740" w:type="dxa"/>
            <w:vAlign w:val="bottom"/>
          </w:tcPr>
          <w:p w:rsidR="003F65BE" w:rsidRDefault="00CD6827">
            <w:pPr>
              <w:jc w:val="right"/>
              <w:rPr>
                <w:sz w:val="20"/>
                <w:szCs w:val="20"/>
              </w:rPr>
            </w:pPr>
            <w:r>
              <w:rPr>
                <w:rFonts w:eastAsia="Times New Roman"/>
                <w:sz w:val="24"/>
                <w:szCs w:val="24"/>
              </w:rPr>
              <w:t>13</w:t>
            </w:r>
          </w:p>
        </w:tc>
      </w:tr>
      <w:tr w:rsidR="003F65BE">
        <w:trPr>
          <w:trHeight w:val="276"/>
        </w:trPr>
        <w:tc>
          <w:tcPr>
            <w:tcW w:w="520" w:type="dxa"/>
            <w:vAlign w:val="bottom"/>
          </w:tcPr>
          <w:p w:rsidR="003F65BE" w:rsidRDefault="00CD6827">
            <w:pPr>
              <w:rPr>
                <w:sz w:val="20"/>
                <w:szCs w:val="20"/>
              </w:rPr>
            </w:pPr>
            <w:r>
              <w:rPr>
                <w:rFonts w:eastAsia="Times New Roman"/>
                <w:sz w:val="24"/>
                <w:szCs w:val="24"/>
              </w:rPr>
              <w:t>1.2.1</w:t>
            </w:r>
          </w:p>
        </w:tc>
        <w:tc>
          <w:tcPr>
            <w:tcW w:w="7820" w:type="dxa"/>
            <w:vAlign w:val="bottom"/>
          </w:tcPr>
          <w:p w:rsidR="003F65BE" w:rsidRDefault="00CD6827">
            <w:pPr>
              <w:ind w:left="20"/>
              <w:rPr>
                <w:sz w:val="20"/>
                <w:szCs w:val="20"/>
              </w:rPr>
            </w:pPr>
            <w:r>
              <w:rPr>
                <w:rFonts w:eastAsia="Times New Roman"/>
                <w:sz w:val="24"/>
                <w:szCs w:val="24"/>
              </w:rPr>
              <w:t>- Finalidade da Lei n° 12.015, de 7 de Agosto de 2009</w:t>
            </w:r>
          </w:p>
        </w:tc>
        <w:tc>
          <w:tcPr>
            <w:tcW w:w="740" w:type="dxa"/>
            <w:vAlign w:val="bottom"/>
          </w:tcPr>
          <w:p w:rsidR="003F65BE" w:rsidRDefault="00CD6827">
            <w:pPr>
              <w:jc w:val="right"/>
              <w:rPr>
                <w:sz w:val="20"/>
                <w:szCs w:val="20"/>
              </w:rPr>
            </w:pPr>
            <w:r>
              <w:rPr>
                <w:rFonts w:eastAsia="Times New Roman"/>
                <w:sz w:val="24"/>
                <w:szCs w:val="24"/>
              </w:rPr>
              <w:t>15</w:t>
            </w:r>
          </w:p>
        </w:tc>
      </w:tr>
      <w:tr w:rsidR="003F65BE">
        <w:trPr>
          <w:trHeight w:val="276"/>
        </w:trPr>
        <w:tc>
          <w:tcPr>
            <w:tcW w:w="520" w:type="dxa"/>
            <w:vAlign w:val="bottom"/>
          </w:tcPr>
          <w:p w:rsidR="003F65BE" w:rsidRDefault="00CD6827">
            <w:pPr>
              <w:rPr>
                <w:sz w:val="20"/>
                <w:szCs w:val="20"/>
              </w:rPr>
            </w:pPr>
            <w:r>
              <w:rPr>
                <w:rFonts w:eastAsia="Times New Roman"/>
                <w:sz w:val="24"/>
                <w:szCs w:val="24"/>
              </w:rPr>
              <w:t>1.2.2</w:t>
            </w:r>
          </w:p>
        </w:tc>
        <w:tc>
          <w:tcPr>
            <w:tcW w:w="7820" w:type="dxa"/>
            <w:vAlign w:val="bottom"/>
          </w:tcPr>
          <w:p w:rsidR="003F65BE" w:rsidRDefault="00CD6827">
            <w:pPr>
              <w:ind w:left="20"/>
              <w:rPr>
                <w:sz w:val="20"/>
                <w:szCs w:val="20"/>
              </w:rPr>
            </w:pPr>
            <w:r>
              <w:rPr>
                <w:rFonts w:eastAsia="Times New Roman"/>
                <w:sz w:val="24"/>
                <w:szCs w:val="24"/>
              </w:rPr>
              <w:t>- Classificação do Crime</w:t>
            </w:r>
          </w:p>
        </w:tc>
        <w:tc>
          <w:tcPr>
            <w:tcW w:w="740" w:type="dxa"/>
            <w:vAlign w:val="bottom"/>
          </w:tcPr>
          <w:p w:rsidR="003F65BE" w:rsidRDefault="00CD6827">
            <w:pPr>
              <w:jc w:val="right"/>
              <w:rPr>
                <w:sz w:val="20"/>
                <w:szCs w:val="20"/>
              </w:rPr>
            </w:pPr>
            <w:r>
              <w:rPr>
                <w:rFonts w:eastAsia="Times New Roman"/>
                <w:sz w:val="24"/>
                <w:szCs w:val="24"/>
              </w:rPr>
              <w:t>16</w:t>
            </w:r>
          </w:p>
        </w:tc>
      </w:tr>
      <w:tr w:rsidR="003F65BE">
        <w:trPr>
          <w:trHeight w:val="276"/>
        </w:trPr>
        <w:tc>
          <w:tcPr>
            <w:tcW w:w="9080" w:type="dxa"/>
            <w:gridSpan w:val="3"/>
            <w:vAlign w:val="bottom"/>
          </w:tcPr>
          <w:p w:rsidR="003F65BE" w:rsidRDefault="00CD6827">
            <w:pPr>
              <w:rPr>
                <w:sz w:val="20"/>
                <w:szCs w:val="20"/>
              </w:rPr>
            </w:pPr>
            <w:r>
              <w:rPr>
                <w:rFonts w:eastAsia="Times New Roman"/>
                <w:b/>
                <w:bCs/>
                <w:sz w:val="24"/>
                <w:szCs w:val="24"/>
              </w:rPr>
              <w:t xml:space="preserve">2. ANÁLISE DOS BENS JURÍDICOS DA “DIGNIDADE SEXUAL” E “FAMÍLIA” </w:t>
            </w:r>
            <w:r>
              <w:rPr>
                <w:rFonts w:eastAsia="Times New Roman"/>
                <w:sz w:val="24"/>
                <w:szCs w:val="24"/>
              </w:rPr>
              <w:t>19</w:t>
            </w:r>
          </w:p>
        </w:tc>
      </w:tr>
      <w:tr w:rsidR="003F65BE">
        <w:trPr>
          <w:trHeight w:val="276"/>
        </w:trPr>
        <w:tc>
          <w:tcPr>
            <w:tcW w:w="8340" w:type="dxa"/>
            <w:gridSpan w:val="2"/>
            <w:vAlign w:val="bottom"/>
          </w:tcPr>
          <w:p w:rsidR="003F65BE" w:rsidRDefault="00CD6827">
            <w:pPr>
              <w:rPr>
                <w:sz w:val="20"/>
                <w:szCs w:val="20"/>
              </w:rPr>
            </w:pPr>
            <w:r>
              <w:rPr>
                <w:rFonts w:eastAsia="Times New Roman"/>
                <w:sz w:val="24"/>
                <w:szCs w:val="24"/>
              </w:rPr>
              <w:t>2.1. Concepção principiológica</w:t>
            </w:r>
          </w:p>
        </w:tc>
        <w:tc>
          <w:tcPr>
            <w:tcW w:w="740" w:type="dxa"/>
            <w:vAlign w:val="bottom"/>
          </w:tcPr>
          <w:p w:rsidR="003F65BE" w:rsidRDefault="00CD6827">
            <w:pPr>
              <w:jc w:val="right"/>
              <w:rPr>
                <w:sz w:val="20"/>
                <w:szCs w:val="20"/>
              </w:rPr>
            </w:pPr>
            <w:r>
              <w:rPr>
                <w:rFonts w:eastAsia="Times New Roman"/>
                <w:sz w:val="24"/>
                <w:szCs w:val="24"/>
              </w:rPr>
              <w:t>19</w:t>
            </w:r>
          </w:p>
        </w:tc>
      </w:tr>
      <w:tr w:rsidR="003F65BE">
        <w:trPr>
          <w:trHeight w:val="276"/>
        </w:trPr>
        <w:tc>
          <w:tcPr>
            <w:tcW w:w="520" w:type="dxa"/>
            <w:vAlign w:val="bottom"/>
          </w:tcPr>
          <w:p w:rsidR="003F65BE" w:rsidRDefault="00CD6827">
            <w:pPr>
              <w:rPr>
                <w:sz w:val="20"/>
                <w:szCs w:val="20"/>
              </w:rPr>
            </w:pPr>
            <w:r>
              <w:rPr>
                <w:rFonts w:eastAsia="Times New Roman"/>
                <w:sz w:val="24"/>
                <w:szCs w:val="24"/>
              </w:rPr>
              <w:t>2.1.1</w:t>
            </w:r>
          </w:p>
        </w:tc>
        <w:tc>
          <w:tcPr>
            <w:tcW w:w="7820" w:type="dxa"/>
            <w:vAlign w:val="bottom"/>
          </w:tcPr>
          <w:p w:rsidR="003F65BE" w:rsidRDefault="00CD6827">
            <w:pPr>
              <w:ind w:left="20"/>
              <w:rPr>
                <w:sz w:val="20"/>
                <w:szCs w:val="20"/>
              </w:rPr>
            </w:pPr>
            <w:r>
              <w:rPr>
                <w:rFonts w:eastAsia="Times New Roman"/>
                <w:sz w:val="24"/>
                <w:szCs w:val="24"/>
              </w:rPr>
              <w:t>Princípio da Dignidade da Pessoa Humana</w:t>
            </w:r>
          </w:p>
        </w:tc>
        <w:tc>
          <w:tcPr>
            <w:tcW w:w="740" w:type="dxa"/>
            <w:vAlign w:val="bottom"/>
          </w:tcPr>
          <w:p w:rsidR="003F65BE" w:rsidRDefault="00CD6827">
            <w:pPr>
              <w:jc w:val="right"/>
              <w:rPr>
                <w:sz w:val="20"/>
                <w:szCs w:val="20"/>
              </w:rPr>
            </w:pPr>
            <w:r>
              <w:rPr>
                <w:rFonts w:eastAsia="Times New Roman"/>
                <w:sz w:val="24"/>
                <w:szCs w:val="24"/>
              </w:rPr>
              <w:t>21</w:t>
            </w:r>
          </w:p>
        </w:tc>
      </w:tr>
      <w:tr w:rsidR="003F65BE">
        <w:trPr>
          <w:trHeight w:val="276"/>
        </w:trPr>
        <w:tc>
          <w:tcPr>
            <w:tcW w:w="520" w:type="dxa"/>
            <w:vAlign w:val="bottom"/>
          </w:tcPr>
          <w:p w:rsidR="003F65BE" w:rsidRDefault="00CD6827">
            <w:pPr>
              <w:rPr>
                <w:sz w:val="20"/>
                <w:szCs w:val="20"/>
              </w:rPr>
            </w:pPr>
            <w:r>
              <w:rPr>
                <w:rFonts w:eastAsia="Times New Roman"/>
                <w:sz w:val="24"/>
                <w:szCs w:val="24"/>
              </w:rPr>
              <w:t>2.1.2</w:t>
            </w:r>
          </w:p>
        </w:tc>
        <w:tc>
          <w:tcPr>
            <w:tcW w:w="7820" w:type="dxa"/>
            <w:vAlign w:val="bottom"/>
          </w:tcPr>
          <w:p w:rsidR="003F65BE" w:rsidRDefault="00CD6827">
            <w:pPr>
              <w:ind w:left="20"/>
              <w:rPr>
                <w:sz w:val="20"/>
                <w:szCs w:val="20"/>
              </w:rPr>
            </w:pPr>
            <w:r>
              <w:rPr>
                <w:rFonts w:eastAsia="Times New Roman"/>
                <w:sz w:val="24"/>
                <w:szCs w:val="24"/>
              </w:rPr>
              <w:t>Princípio da Lesividade ou Ofensividade</w:t>
            </w:r>
          </w:p>
        </w:tc>
        <w:tc>
          <w:tcPr>
            <w:tcW w:w="740" w:type="dxa"/>
            <w:vAlign w:val="bottom"/>
          </w:tcPr>
          <w:p w:rsidR="003F65BE" w:rsidRDefault="00CD6827">
            <w:pPr>
              <w:jc w:val="right"/>
              <w:rPr>
                <w:sz w:val="20"/>
                <w:szCs w:val="20"/>
              </w:rPr>
            </w:pPr>
            <w:r>
              <w:rPr>
                <w:rFonts w:eastAsia="Times New Roman"/>
                <w:sz w:val="24"/>
                <w:szCs w:val="24"/>
              </w:rPr>
              <w:t>22</w:t>
            </w:r>
          </w:p>
        </w:tc>
      </w:tr>
      <w:tr w:rsidR="003F65BE">
        <w:trPr>
          <w:trHeight w:val="277"/>
        </w:trPr>
        <w:tc>
          <w:tcPr>
            <w:tcW w:w="520" w:type="dxa"/>
            <w:vAlign w:val="bottom"/>
          </w:tcPr>
          <w:p w:rsidR="003F65BE" w:rsidRDefault="00CD6827">
            <w:pPr>
              <w:rPr>
                <w:sz w:val="20"/>
                <w:szCs w:val="20"/>
              </w:rPr>
            </w:pPr>
            <w:r>
              <w:rPr>
                <w:rFonts w:eastAsia="Times New Roman"/>
                <w:sz w:val="24"/>
                <w:szCs w:val="24"/>
              </w:rPr>
              <w:t>2.1.3</w:t>
            </w:r>
          </w:p>
        </w:tc>
        <w:tc>
          <w:tcPr>
            <w:tcW w:w="7820" w:type="dxa"/>
            <w:vAlign w:val="bottom"/>
          </w:tcPr>
          <w:p w:rsidR="003F65BE" w:rsidRDefault="00CD6827">
            <w:pPr>
              <w:ind w:left="20"/>
              <w:rPr>
                <w:sz w:val="20"/>
                <w:szCs w:val="20"/>
              </w:rPr>
            </w:pPr>
            <w:r>
              <w:rPr>
                <w:rFonts w:eastAsia="Times New Roman"/>
                <w:sz w:val="24"/>
                <w:szCs w:val="24"/>
              </w:rPr>
              <w:t>Princípio da Proporcionalidade</w:t>
            </w:r>
          </w:p>
        </w:tc>
        <w:tc>
          <w:tcPr>
            <w:tcW w:w="740" w:type="dxa"/>
            <w:vAlign w:val="bottom"/>
          </w:tcPr>
          <w:p w:rsidR="003F65BE" w:rsidRDefault="00CD6827">
            <w:pPr>
              <w:jc w:val="right"/>
              <w:rPr>
                <w:sz w:val="20"/>
                <w:szCs w:val="20"/>
              </w:rPr>
            </w:pPr>
            <w:r>
              <w:rPr>
                <w:rFonts w:eastAsia="Times New Roman"/>
                <w:sz w:val="24"/>
                <w:szCs w:val="24"/>
              </w:rPr>
              <w:t>24</w:t>
            </w:r>
          </w:p>
        </w:tc>
      </w:tr>
      <w:tr w:rsidR="003F65BE">
        <w:trPr>
          <w:trHeight w:val="276"/>
        </w:trPr>
        <w:tc>
          <w:tcPr>
            <w:tcW w:w="520" w:type="dxa"/>
            <w:vAlign w:val="bottom"/>
          </w:tcPr>
          <w:p w:rsidR="003F65BE" w:rsidRDefault="00CD6827">
            <w:pPr>
              <w:rPr>
                <w:sz w:val="20"/>
                <w:szCs w:val="20"/>
              </w:rPr>
            </w:pPr>
            <w:r>
              <w:rPr>
                <w:rFonts w:eastAsia="Times New Roman"/>
                <w:sz w:val="24"/>
                <w:szCs w:val="24"/>
              </w:rPr>
              <w:t>2.1.4</w:t>
            </w:r>
          </w:p>
        </w:tc>
        <w:tc>
          <w:tcPr>
            <w:tcW w:w="7820" w:type="dxa"/>
            <w:vAlign w:val="bottom"/>
          </w:tcPr>
          <w:p w:rsidR="003F65BE" w:rsidRDefault="00CD6827">
            <w:pPr>
              <w:ind w:left="20"/>
              <w:rPr>
                <w:sz w:val="20"/>
                <w:szCs w:val="20"/>
              </w:rPr>
            </w:pPr>
            <w:r>
              <w:rPr>
                <w:rFonts w:eastAsia="Times New Roman"/>
                <w:sz w:val="24"/>
                <w:szCs w:val="24"/>
              </w:rPr>
              <w:t>Princípio da Intervenção Mínima do Estado</w:t>
            </w:r>
          </w:p>
        </w:tc>
        <w:tc>
          <w:tcPr>
            <w:tcW w:w="740" w:type="dxa"/>
            <w:vAlign w:val="bottom"/>
          </w:tcPr>
          <w:p w:rsidR="003F65BE" w:rsidRDefault="00CD6827">
            <w:pPr>
              <w:jc w:val="right"/>
              <w:rPr>
                <w:sz w:val="20"/>
                <w:szCs w:val="20"/>
              </w:rPr>
            </w:pPr>
            <w:r>
              <w:rPr>
                <w:rFonts w:eastAsia="Times New Roman"/>
                <w:sz w:val="24"/>
                <w:szCs w:val="24"/>
              </w:rPr>
              <w:t>25</w:t>
            </w:r>
          </w:p>
        </w:tc>
      </w:tr>
      <w:tr w:rsidR="003F65BE">
        <w:trPr>
          <w:trHeight w:val="276"/>
        </w:trPr>
        <w:tc>
          <w:tcPr>
            <w:tcW w:w="520" w:type="dxa"/>
            <w:vAlign w:val="bottom"/>
          </w:tcPr>
          <w:p w:rsidR="003F65BE" w:rsidRDefault="00CD6827">
            <w:pPr>
              <w:rPr>
                <w:sz w:val="20"/>
                <w:szCs w:val="20"/>
              </w:rPr>
            </w:pPr>
            <w:r>
              <w:rPr>
                <w:rFonts w:eastAsia="Times New Roman"/>
                <w:sz w:val="24"/>
                <w:szCs w:val="24"/>
              </w:rPr>
              <w:t>2.1.5</w:t>
            </w:r>
          </w:p>
        </w:tc>
        <w:tc>
          <w:tcPr>
            <w:tcW w:w="7820" w:type="dxa"/>
            <w:vAlign w:val="bottom"/>
          </w:tcPr>
          <w:p w:rsidR="003F65BE" w:rsidRDefault="00CD6827">
            <w:pPr>
              <w:ind w:left="20"/>
              <w:rPr>
                <w:sz w:val="20"/>
                <w:szCs w:val="20"/>
              </w:rPr>
            </w:pPr>
            <w:r>
              <w:rPr>
                <w:rFonts w:eastAsia="Times New Roman"/>
                <w:sz w:val="24"/>
                <w:szCs w:val="24"/>
              </w:rPr>
              <w:t>Princípio da Adequação Social</w:t>
            </w:r>
          </w:p>
        </w:tc>
        <w:tc>
          <w:tcPr>
            <w:tcW w:w="740" w:type="dxa"/>
            <w:vAlign w:val="bottom"/>
          </w:tcPr>
          <w:p w:rsidR="003F65BE" w:rsidRDefault="00CD6827">
            <w:pPr>
              <w:jc w:val="right"/>
              <w:rPr>
                <w:sz w:val="20"/>
                <w:szCs w:val="20"/>
              </w:rPr>
            </w:pPr>
            <w:r>
              <w:rPr>
                <w:rFonts w:eastAsia="Times New Roman"/>
                <w:sz w:val="24"/>
                <w:szCs w:val="24"/>
              </w:rPr>
              <w:t>26</w:t>
            </w:r>
          </w:p>
        </w:tc>
      </w:tr>
      <w:tr w:rsidR="003F65BE">
        <w:trPr>
          <w:trHeight w:val="276"/>
        </w:trPr>
        <w:tc>
          <w:tcPr>
            <w:tcW w:w="8340" w:type="dxa"/>
            <w:gridSpan w:val="2"/>
            <w:vAlign w:val="bottom"/>
          </w:tcPr>
          <w:p w:rsidR="003F65BE" w:rsidRDefault="00CD6827">
            <w:pPr>
              <w:rPr>
                <w:sz w:val="20"/>
                <w:szCs w:val="20"/>
              </w:rPr>
            </w:pPr>
            <w:r>
              <w:rPr>
                <w:rFonts w:eastAsia="Times New Roman"/>
                <w:sz w:val="24"/>
                <w:szCs w:val="24"/>
              </w:rPr>
              <w:t xml:space="preserve">2.2 Compreensão do </w:t>
            </w:r>
            <w:r>
              <w:rPr>
                <w:rFonts w:eastAsia="Times New Roman"/>
                <w:sz w:val="24"/>
                <w:szCs w:val="24"/>
              </w:rPr>
              <w:t>bem jurídico “Dignidade Sexual”</w:t>
            </w:r>
          </w:p>
        </w:tc>
        <w:tc>
          <w:tcPr>
            <w:tcW w:w="740" w:type="dxa"/>
            <w:vAlign w:val="bottom"/>
          </w:tcPr>
          <w:p w:rsidR="003F65BE" w:rsidRDefault="00CD6827">
            <w:pPr>
              <w:jc w:val="right"/>
              <w:rPr>
                <w:sz w:val="20"/>
                <w:szCs w:val="20"/>
              </w:rPr>
            </w:pPr>
            <w:r>
              <w:rPr>
                <w:rFonts w:eastAsia="Times New Roman"/>
                <w:sz w:val="24"/>
                <w:szCs w:val="24"/>
              </w:rPr>
              <w:t>26</w:t>
            </w:r>
          </w:p>
        </w:tc>
      </w:tr>
      <w:tr w:rsidR="003F65BE">
        <w:trPr>
          <w:trHeight w:val="276"/>
        </w:trPr>
        <w:tc>
          <w:tcPr>
            <w:tcW w:w="520" w:type="dxa"/>
            <w:vAlign w:val="bottom"/>
          </w:tcPr>
          <w:p w:rsidR="003F65BE" w:rsidRDefault="00CD6827">
            <w:pPr>
              <w:rPr>
                <w:sz w:val="20"/>
                <w:szCs w:val="20"/>
              </w:rPr>
            </w:pPr>
            <w:r>
              <w:rPr>
                <w:rFonts w:eastAsia="Times New Roman"/>
                <w:sz w:val="24"/>
                <w:szCs w:val="24"/>
              </w:rPr>
              <w:t>2.2.1</w:t>
            </w:r>
          </w:p>
        </w:tc>
        <w:tc>
          <w:tcPr>
            <w:tcW w:w="7820" w:type="dxa"/>
            <w:vAlign w:val="bottom"/>
          </w:tcPr>
          <w:p w:rsidR="003F65BE" w:rsidRDefault="00CD6827">
            <w:pPr>
              <w:ind w:left="20"/>
              <w:rPr>
                <w:sz w:val="20"/>
                <w:szCs w:val="20"/>
              </w:rPr>
            </w:pPr>
            <w:r>
              <w:rPr>
                <w:rFonts w:eastAsia="Times New Roman"/>
                <w:sz w:val="24"/>
                <w:szCs w:val="24"/>
              </w:rPr>
              <w:t>Compreensão do bem jurídico “Costumes”</w:t>
            </w:r>
          </w:p>
        </w:tc>
        <w:tc>
          <w:tcPr>
            <w:tcW w:w="740" w:type="dxa"/>
            <w:vAlign w:val="bottom"/>
          </w:tcPr>
          <w:p w:rsidR="003F65BE" w:rsidRDefault="00CD6827">
            <w:pPr>
              <w:jc w:val="right"/>
              <w:rPr>
                <w:sz w:val="20"/>
                <w:szCs w:val="20"/>
              </w:rPr>
            </w:pPr>
            <w:r>
              <w:rPr>
                <w:rFonts w:eastAsia="Times New Roman"/>
                <w:sz w:val="24"/>
                <w:szCs w:val="24"/>
              </w:rPr>
              <w:t>27</w:t>
            </w:r>
          </w:p>
        </w:tc>
      </w:tr>
    </w:tbl>
    <w:p w:rsidR="003F65BE" w:rsidRDefault="00CD6827">
      <w:pPr>
        <w:ind w:left="260"/>
        <w:rPr>
          <w:sz w:val="20"/>
          <w:szCs w:val="20"/>
        </w:rPr>
      </w:pPr>
      <w:r>
        <w:rPr>
          <w:rFonts w:eastAsia="Times New Roman"/>
          <w:sz w:val="24"/>
          <w:szCs w:val="24"/>
        </w:rPr>
        <w:t>2.2.2 Compreensão do bem jurídico “Dignidade Sexual” quanto a “vulnerabilidade” do artigo</w:t>
      </w:r>
    </w:p>
    <w:tbl>
      <w:tblPr>
        <w:tblW w:w="0" w:type="auto"/>
        <w:tblInd w:w="260" w:type="dxa"/>
        <w:tblLayout w:type="fixed"/>
        <w:tblCellMar>
          <w:left w:w="0" w:type="dxa"/>
          <w:right w:w="0" w:type="dxa"/>
        </w:tblCellMar>
        <w:tblLook w:val="04A0" w:firstRow="1" w:lastRow="0" w:firstColumn="1" w:lastColumn="0" w:noHBand="0" w:noVBand="1"/>
      </w:tblPr>
      <w:tblGrid>
        <w:gridCol w:w="520"/>
        <w:gridCol w:w="7520"/>
        <w:gridCol w:w="1020"/>
      </w:tblGrid>
      <w:tr w:rsidR="003F65BE">
        <w:trPr>
          <w:trHeight w:val="276"/>
        </w:trPr>
        <w:tc>
          <w:tcPr>
            <w:tcW w:w="8040" w:type="dxa"/>
            <w:gridSpan w:val="2"/>
            <w:vAlign w:val="bottom"/>
          </w:tcPr>
          <w:p w:rsidR="003F65BE" w:rsidRDefault="00CD6827">
            <w:pPr>
              <w:rPr>
                <w:sz w:val="20"/>
                <w:szCs w:val="20"/>
              </w:rPr>
            </w:pPr>
            <w:r>
              <w:rPr>
                <w:rFonts w:eastAsia="Times New Roman"/>
                <w:sz w:val="24"/>
                <w:szCs w:val="24"/>
              </w:rPr>
              <w:t>217-A do Código Penal</w:t>
            </w:r>
          </w:p>
        </w:tc>
        <w:tc>
          <w:tcPr>
            <w:tcW w:w="1020" w:type="dxa"/>
            <w:vAlign w:val="bottom"/>
          </w:tcPr>
          <w:p w:rsidR="003F65BE" w:rsidRDefault="00CD6827">
            <w:pPr>
              <w:jc w:val="right"/>
              <w:rPr>
                <w:sz w:val="20"/>
                <w:szCs w:val="20"/>
              </w:rPr>
            </w:pPr>
            <w:r>
              <w:rPr>
                <w:rFonts w:eastAsia="Times New Roman"/>
                <w:sz w:val="24"/>
                <w:szCs w:val="24"/>
              </w:rPr>
              <w:t>28</w:t>
            </w:r>
          </w:p>
        </w:tc>
      </w:tr>
      <w:tr w:rsidR="003F65BE">
        <w:trPr>
          <w:trHeight w:val="276"/>
        </w:trPr>
        <w:tc>
          <w:tcPr>
            <w:tcW w:w="8040" w:type="dxa"/>
            <w:gridSpan w:val="2"/>
            <w:vAlign w:val="bottom"/>
          </w:tcPr>
          <w:p w:rsidR="003F65BE" w:rsidRDefault="00CD6827">
            <w:pPr>
              <w:rPr>
                <w:sz w:val="20"/>
                <w:szCs w:val="20"/>
              </w:rPr>
            </w:pPr>
            <w:r>
              <w:rPr>
                <w:rFonts w:eastAsia="Times New Roman"/>
                <w:sz w:val="24"/>
                <w:szCs w:val="24"/>
              </w:rPr>
              <w:t xml:space="preserve">2.3 Compreensão jurídica do bem jurídico do direito da </w:t>
            </w:r>
            <w:r>
              <w:rPr>
                <w:rFonts w:eastAsia="Times New Roman"/>
                <w:sz w:val="24"/>
                <w:szCs w:val="24"/>
              </w:rPr>
              <w:t>“Família”</w:t>
            </w:r>
          </w:p>
        </w:tc>
        <w:tc>
          <w:tcPr>
            <w:tcW w:w="1020" w:type="dxa"/>
            <w:vAlign w:val="bottom"/>
          </w:tcPr>
          <w:p w:rsidR="003F65BE" w:rsidRDefault="00CD6827">
            <w:pPr>
              <w:jc w:val="right"/>
              <w:rPr>
                <w:sz w:val="20"/>
                <w:szCs w:val="20"/>
              </w:rPr>
            </w:pPr>
            <w:r>
              <w:rPr>
                <w:rFonts w:eastAsia="Times New Roman"/>
                <w:sz w:val="24"/>
                <w:szCs w:val="24"/>
              </w:rPr>
              <w:t>29</w:t>
            </w:r>
          </w:p>
        </w:tc>
      </w:tr>
      <w:tr w:rsidR="003F65BE">
        <w:trPr>
          <w:trHeight w:val="276"/>
        </w:trPr>
        <w:tc>
          <w:tcPr>
            <w:tcW w:w="8040" w:type="dxa"/>
            <w:gridSpan w:val="2"/>
            <w:vAlign w:val="bottom"/>
          </w:tcPr>
          <w:p w:rsidR="003F65BE" w:rsidRDefault="00CD6827">
            <w:pPr>
              <w:rPr>
                <w:sz w:val="20"/>
                <w:szCs w:val="20"/>
              </w:rPr>
            </w:pPr>
            <w:r>
              <w:rPr>
                <w:rFonts w:eastAsia="Times New Roman"/>
                <w:sz w:val="24"/>
                <w:szCs w:val="24"/>
              </w:rPr>
              <w:t>2.3.1. Proteção constitucional</w:t>
            </w:r>
          </w:p>
        </w:tc>
        <w:tc>
          <w:tcPr>
            <w:tcW w:w="1020" w:type="dxa"/>
            <w:vAlign w:val="bottom"/>
          </w:tcPr>
          <w:p w:rsidR="003F65BE" w:rsidRDefault="00CD6827">
            <w:pPr>
              <w:jc w:val="right"/>
              <w:rPr>
                <w:sz w:val="20"/>
                <w:szCs w:val="20"/>
              </w:rPr>
            </w:pPr>
            <w:r>
              <w:rPr>
                <w:rFonts w:eastAsia="Times New Roman"/>
                <w:sz w:val="24"/>
                <w:szCs w:val="24"/>
              </w:rPr>
              <w:t>30</w:t>
            </w:r>
          </w:p>
        </w:tc>
      </w:tr>
      <w:tr w:rsidR="003F65BE">
        <w:trPr>
          <w:trHeight w:val="276"/>
        </w:trPr>
        <w:tc>
          <w:tcPr>
            <w:tcW w:w="8040" w:type="dxa"/>
            <w:gridSpan w:val="2"/>
            <w:vAlign w:val="bottom"/>
          </w:tcPr>
          <w:p w:rsidR="003F65BE" w:rsidRDefault="00CD6827">
            <w:pPr>
              <w:rPr>
                <w:sz w:val="20"/>
                <w:szCs w:val="20"/>
              </w:rPr>
            </w:pPr>
            <w:r>
              <w:rPr>
                <w:rFonts w:eastAsia="Times New Roman"/>
                <w:sz w:val="24"/>
                <w:szCs w:val="24"/>
              </w:rPr>
              <w:t>2.3.2. Constituição da família na Lei Civil</w:t>
            </w:r>
          </w:p>
        </w:tc>
        <w:tc>
          <w:tcPr>
            <w:tcW w:w="1020" w:type="dxa"/>
            <w:vAlign w:val="bottom"/>
          </w:tcPr>
          <w:p w:rsidR="003F65BE" w:rsidRDefault="00CD6827">
            <w:pPr>
              <w:jc w:val="right"/>
              <w:rPr>
                <w:sz w:val="20"/>
                <w:szCs w:val="20"/>
              </w:rPr>
            </w:pPr>
            <w:r>
              <w:rPr>
                <w:rFonts w:eastAsia="Times New Roman"/>
                <w:sz w:val="24"/>
                <w:szCs w:val="24"/>
              </w:rPr>
              <w:t>30</w:t>
            </w:r>
          </w:p>
        </w:tc>
      </w:tr>
      <w:tr w:rsidR="003F65BE">
        <w:trPr>
          <w:trHeight w:val="276"/>
        </w:trPr>
        <w:tc>
          <w:tcPr>
            <w:tcW w:w="8040" w:type="dxa"/>
            <w:gridSpan w:val="2"/>
            <w:vAlign w:val="bottom"/>
          </w:tcPr>
          <w:p w:rsidR="003F65BE" w:rsidRDefault="00CD6827">
            <w:pPr>
              <w:rPr>
                <w:sz w:val="20"/>
                <w:szCs w:val="20"/>
              </w:rPr>
            </w:pPr>
            <w:r>
              <w:rPr>
                <w:rFonts w:eastAsia="Times New Roman"/>
                <w:b/>
                <w:bCs/>
                <w:sz w:val="24"/>
                <w:szCs w:val="24"/>
              </w:rPr>
              <w:t>3. ANÁLISE CASUÍSTICA DO CONCEITO DE VULNERABILIDADE</w:t>
            </w:r>
          </w:p>
        </w:tc>
        <w:tc>
          <w:tcPr>
            <w:tcW w:w="1020" w:type="dxa"/>
            <w:vAlign w:val="bottom"/>
          </w:tcPr>
          <w:p w:rsidR="003F65BE" w:rsidRDefault="00CD6827">
            <w:pPr>
              <w:ind w:right="100"/>
              <w:jc w:val="right"/>
              <w:rPr>
                <w:sz w:val="20"/>
                <w:szCs w:val="20"/>
              </w:rPr>
            </w:pPr>
            <w:r>
              <w:rPr>
                <w:rFonts w:eastAsia="Times New Roman"/>
                <w:sz w:val="24"/>
                <w:szCs w:val="24"/>
              </w:rPr>
              <w:t>33</w:t>
            </w:r>
          </w:p>
        </w:tc>
      </w:tr>
      <w:tr w:rsidR="003F65BE">
        <w:trPr>
          <w:trHeight w:val="276"/>
        </w:trPr>
        <w:tc>
          <w:tcPr>
            <w:tcW w:w="8040" w:type="dxa"/>
            <w:gridSpan w:val="2"/>
            <w:vAlign w:val="bottom"/>
          </w:tcPr>
          <w:p w:rsidR="003F65BE" w:rsidRDefault="00CD6827">
            <w:pPr>
              <w:rPr>
                <w:sz w:val="20"/>
                <w:szCs w:val="20"/>
              </w:rPr>
            </w:pPr>
            <w:r>
              <w:rPr>
                <w:rFonts w:eastAsia="Times New Roman"/>
                <w:sz w:val="24"/>
                <w:szCs w:val="24"/>
              </w:rPr>
              <w:t>3.1 Conceito de Vulnerabilidade</w:t>
            </w:r>
          </w:p>
        </w:tc>
        <w:tc>
          <w:tcPr>
            <w:tcW w:w="1020" w:type="dxa"/>
            <w:vAlign w:val="bottom"/>
          </w:tcPr>
          <w:p w:rsidR="003F65BE" w:rsidRDefault="00CD6827">
            <w:pPr>
              <w:jc w:val="right"/>
              <w:rPr>
                <w:sz w:val="20"/>
                <w:szCs w:val="20"/>
              </w:rPr>
            </w:pPr>
            <w:r>
              <w:rPr>
                <w:rFonts w:eastAsia="Times New Roman"/>
                <w:sz w:val="24"/>
                <w:szCs w:val="24"/>
              </w:rPr>
              <w:t>33</w:t>
            </w:r>
          </w:p>
        </w:tc>
      </w:tr>
      <w:tr w:rsidR="003F65BE">
        <w:trPr>
          <w:trHeight w:val="276"/>
        </w:trPr>
        <w:tc>
          <w:tcPr>
            <w:tcW w:w="520" w:type="dxa"/>
            <w:vAlign w:val="bottom"/>
          </w:tcPr>
          <w:p w:rsidR="003F65BE" w:rsidRDefault="00CD6827">
            <w:pPr>
              <w:rPr>
                <w:sz w:val="20"/>
                <w:szCs w:val="20"/>
              </w:rPr>
            </w:pPr>
            <w:r>
              <w:rPr>
                <w:rFonts w:eastAsia="Times New Roman"/>
                <w:sz w:val="24"/>
                <w:szCs w:val="24"/>
              </w:rPr>
              <w:t>3.1.1</w:t>
            </w:r>
          </w:p>
        </w:tc>
        <w:tc>
          <w:tcPr>
            <w:tcW w:w="7520" w:type="dxa"/>
            <w:vAlign w:val="bottom"/>
          </w:tcPr>
          <w:p w:rsidR="003F65BE" w:rsidRDefault="00CD6827">
            <w:pPr>
              <w:ind w:left="20"/>
              <w:rPr>
                <w:sz w:val="20"/>
                <w:szCs w:val="20"/>
              </w:rPr>
            </w:pPr>
            <w:r>
              <w:rPr>
                <w:rFonts w:eastAsia="Times New Roman"/>
                <w:sz w:val="24"/>
                <w:szCs w:val="24"/>
              </w:rPr>
              <w:t>Etimológico</w:t>
            </w:r>
          </w:p>
        </w:tc>
        <w:tc>
          <w:tcPr>
            <w:tcW w:w="1020" w:type="dxa"/>
            <w:vAlign w:val="bottom"/>
          </w:tcPr>
          <w:p w:rsidR="003F65BE" w:rsidRDefault="00CD6827">
            <w:pPr>
              <w:jc w:val="right"/>
              <w:rPr>
                <w:sz w:val="20"/>
                <w:szCs w:val="20"/>
              </w:rPr>
            </w:pPr>
            <w:r>
              <w:rPr>
                <w:rFonts w:eastAsia="Times New Roman"/>
                <w:sz w:val="24"/>
                <w:szCs w:val="24"/>
              </w:rPr>
              <w:t>35</w:t>
            </w:r>
          </w:p>
        </w:tc>
      </w:tr>
      <w:tr w:rsidR="003F65BE">
        <w:trPr>
          <w:trHeight w:val="274"/>
        </w:trPr>
        <w:tc>
          <w:tcPr>
            <w:tcW w:w="520" w:type="dxa"/>
            <w:vAlign w:val="bottom"/>
          </w:tcPr>
          <w:p w:rsidR="003F65BE" w:rsidRDefault="00CD6827">
            <w:pPr>
              <w:spacing w:line="274" w:lineRule="exact"/>
              <w:rPr>
                <w:sz w:val="20"/>
                <w:szCs w:val="20"/>
              </w:rPr>
            </w:pPr>
            <w:r>
              <w:rPr>
                <w:rFonts w:eastAsia="Times New Roman"/>
                <w:sz w:val="24"/>
                <w:szCs w:val="24"/>
              </w:rPr>
              <w:t>3.1.2</w:t>
            </w:r>
          </w:p>
        </w:tc>
        <w:tc>
          <w:tcPr>
            <w:tcW w:w="7520" w:type="dxa"/>
            <w:vAlign w:val="bottom"/>
          </w:tcPr>
          <w:p w:rsidR="003F65BE" w:rsidRDefault="00CD6827">
            <w:pPr>
              <w:spacing w:line="274" w:lineRule="exact"/>
              <w:ind w:left="20"/>
              <w:rPr>
                <w:sz w:val="20"/>
                <w:szCs w:val="20"/>
              </w:rPr>
            </w:pPr>
            <w:r>
              <w:rPr>
                <w:rFonts w:eastAsia="Times New Roman"/>
                <w:sz w:val="24"/>
                <w:szCs w:val="24"/>
              </w:rPr>
              <w:t>Social</w:t>
            </w:r>
          </w:p>
        </w:tc>
        <w:tc>
          <w:tcPr>
            <w:tcW w:w="1020" w:type="dxa"/>
            <w:vAlign w:val="bottom"/>
          </w:tcPr>
          <w:p w:rsidR="003F65BE" w:rsidRDefault="00CD6827">
            <w:pPr>
              <w:spacing w:line="274" w:lineRule="exact"/>
              <w:jc w:val="right"/>
              <w:rPr>
                <w:sz w:val="20"/>
                <w:szCs w:val="20"/>
              </w:rPr>
            </w:pPr>
            <w:r>
              <w:rPr>
                <w:rFonts w:eastAsia="Times New Roman"/>
                <w:sz w:val="24"/>
                <w:szCs w:val="24"/>
              </w:rPr>
              <w:t>35</w:t>
            </w:r>
          </w:p>
        </w:tc>
      </w:tr>
      <w:tr w:rsidR="003F65BE">
        <w:trPr>
          <w:trHeight w:val="276"/>
        </w:trPr>
        <w:tc>
          <w:tcPr>
            <w:tcW w:w="520" w:type="dxa"/>
            <w:vAlign w:val="bottom"/>
          </w:tcPr>
          <w:p w:rsidR="003F65BE" w:rsidRDefault="00CD6827">
            <w:pPr>
              <w:rPr>
                <w:sz w:val="20"/>
                <w:szCs w:val="20"/>
              </w:rPr>
            </w:pPr>
            <w:r>
              <w:rPr>
                <w:rFonts w:eastAsia="Times New Roman"/>
                <w:sz w:val="24"/>
                <w:szCs w:val="24"/>
              </w:rPr>
              <w:t>3.1.3</w:t>
            </w:r>
          </w:p>
        </w:tc>
        <w:tc>
          <w:tcPr>
            <w:tcW w:w="7520" w:type="dxa"/>
            <w:vAlign w:val="bottom"/>
          </w:tcPr>
          <w:p w:rsidR="003F65BE" w:rsidRDefault="00CD6827">
            <w:pPr>
              <w:ind w:left="20"/>
              <w:rPr>
                <w:sz w:val="20"/>
                <w:szCs w:val="20"/>
              </w:rPr>
            </w:pPr>
            <w:r>
              <w:rPr>
                <w:rFonts w:eastAsia="Times New Roman"/>
                <w:sz w:val="24"/>
                <w:szCs w:val="24"/>
              </w:rPr>
              <w:t>Moral</w:t>
            </w:r>
          </w:p>
        </w:tc>
        <w:tc>
          <w:tcPr>
            <w:tcW w:w="1020" w:type="dxa"/>
            <w:vAlign w:val="bottom"/>
          </w:tcPr>
          <w:p w:rsidR="003F65BE" w:rsidRDefault="00CD6827">
            <w:pPr>
              <w:jc w:val="right"/>
              <w:rPr>
                <w:sz w:val="20"/>
                <w:szCs w:val="20"/>
              </w:rPr>
            </w:pPr>
            <w:r>
              <w:rPr>
                <w:rFonts w:eastAsia="Times New Roman"/>
                <w:sz w:val="24"/>
                <w:szCs w:val="24"/>
              </w:rPr>
              <w:t>36</w:t>
            </w:r>
          </w:p>
        </w:tc>
      </w:tr>
      <w:tr w:rsidR="003F65BE">
        <w:trPr>
          <w:trHeight w:val="276"/>
        </w:trPr>
        <w:tc>
          <w:tcPr>
            <w:tcW w:w="520" w:type="dxa"/>
            <w:vAlign w:val="bottom"/>
          </w:tcPr>
          <w:p w:rsidR="003F65BE" w:rsidRDefault="00CD6827">
            <w:pPr>
              <w:rPr>
                <w:sz w:val="20"/>
                <w:szCs w:val="20"/>
              </w:rPr>
            </w:pPr>
            <w:r>
              <w:rPr>
                <w:rFonts w:eastAsia="Times New Roman"/>
                <w:sz w:val="24"/>
                <w:szCs w:val="24"/>
              </w:rPr>
              <w:t>3.1.4</w:t>
            </w:r>
          </w:p>
        </w:tc>
        <w:tc>
          <w:tcPr>
            <w:tcW w:w="7520" w:type="dxa"/>
            <w:vAlign w:val="bottom"/>
          </w:tcPr>
          <w:p w:rsidR="003F65BE" w:rsidRDefault="00CD6827">
            <w:pPr>
              <w:ind w:left="20"/>
              <w:rPr>
                <w:sz w:val="20"/>
                <w:szCs w:val="20"/>
              </w:rPr>
            </w:pPr>
            <w:r>
              <w:rPr>
                <w:rFonts w:eastAsia="Times New Roman"/>
                <w:sz w:val="24"/>
                <w:szCs w:val="24"/>
              </w:rPr>
              <w:t>Jurídico</w:t>
            </w:r>
          </w:p>
        </w:tc>
        <w:tc>
          <w:tcPr>
            <w:tcW w:w="1020" w:type="dxa"/>
            <w:vAlign w:val="bottom"/>
          </w:tcPr>
          <w:p w:rsidR="003F65BE" w:rsidRDefault="00CD6827">
            <w:pPr>
              <w:jc w:val="right"/>
              <w:rPr>
                <w:sz w:val="20"/>
                <w:szCs w:val="20"/>
              </w:rPr>
            </w:pPr>
            <w:r>
              <w:rPr>
                <w:rFonts w:eastAsia="Times New Roman"/>
                <w:sz w:val="24"/>
                <w:szCs w:val="24"/>
              </w:rPr>
              <w:t>36</w:t>
            </w:r>
          </w:p>
        </w:tc>
      </w:tr>
    </w:tbl>
    <w:p w:rsidR="003F65BE" w:rsidRDefault="00CD6827">
      <w:pPr>
        <w:ind w:left="260"/>
        <w:rPr>
          <w:sz w:val="20"/>
          <w:szCs w:val="20"/>
        </w:rPr>
      </w:pPr>
      <w:r>
        <w:rPr>
          <w:rFonts w:eastAsia="Times New Roman"/>
          <w:sz w:val="24"/>
          <w:szCs w:val="24"/>
        </w:rPr>
        <w:t>3.2 Necessidade de análise concreta do conceito de vulnerabilidade para aplicação adequada</w:t>
      </w:r>
    </w:p>
    <w:tbl>
      <w:tblPr>
        <w:tblW w:w="0" w:type="auto"/>
        <w:tblInd w:w="260" w:type="dxa"/>
        <w:tblLayout w:type="fixed"/>
        <w:tblCellMar>
          <w:left w:w="0" w:type="dxa"/>
          <w:right w:w="0" w:type="dxa"/>
        </w:tblCellMar>
        <w:tblLook w:val="04A0" w:firstRow="1" w:lastRow="0" w:firstColumn="1" w:lastColumn="0" w:noHBand="0" w:noVBand="1"/>
      </w:tblPr>
      <w:tblGrid>
        <w:gridCol w:w="6340"/>
        <w:gridCol w:w="2740"/>
      </w:tblGrid>
      <w:tr w:rsidR="003F65BE">
        <w:trPr>
          <w:trHeight w:val="276"/>
        </w:trPr>
        <w:tc>
          <w:tcPr>
            <w:tcW w:w="6340" w:type="dxa"/>
            <w:vAlign w:val="bottom"/>
          </w:tcPr>
          <w:p w:rsidR="003F65BE" w:rsidRDefault="00CD6827">
            <w:pPr>
              <w:rPr>
                <w:sz w:val="20"/>
                <w:szCs w:val="20"/>
              </w:rPr>
            </w:pPr>
            <w:r>
              <w:rPr>
                <w:rFonts w:eastAsia="Times New Roman"/>
                <w:sz w:val="24"/>
                <w:szCs w:val="24"/>
              </w:rPr>
              <w:t>no crime de estupro de vulnerável</w:t>
            </w:r>
          </w:p>
        </w:tc>
        <w:tc>
          <w:tcPr>
            <w:tcW w:w="2740" w:type="dxa"/>
            <w:vAlign w:val="bottom"/>
          </w:tcPr>
          <w:p w:rsidR="003F65BE" w:rsidRDefault="00CD6827">
            <w:pPr>
              <w:jc w:val="right"/>
              <w:rPr>
                <w:sz w:val="20"/>
                <w:szCs w:val="20"/>
              </w:rPr>
            </w:pPr>
            <w:r>
              <w:rPr>
                <w:rFonts w:eastAsia="Times New Roman"/>
                <w:sz w:val="24"/>
                <w:szCs w:val="24"/>
              </w:rPr>
              <w:t>39</w:t>
            </w:r>
          </w:p>
        </w:tc>
      </w:tr>
      <w:tr w:rsidR="003F65BE">
        <w:trPr>
          <w:trHeight w:val="276"/>
        </w:trPr>
        <w:tc>
          <w:tcPr>
            <w:tcW w:w="6340" w:type="dxa"/>
            <w:vAlign w:val="bottom"/>
          </w:tcPr>
          <w:p w:rsidR="003F65BE" w:rsidRDefault="00CD6827">
            <w:pPr>
              <w:rPr>
                <w:sz w:val="20"/>
                <w:szCs w:val="20"/>
              </w:rPr>
            </w:pPr>
            <w:r>
              <w:rPr>
                <w:rFonts w:eastAsia="Times New Roman"/>
                <w:sz w:val="24"/>
                <w:szCs w:val="24"/>
              </w:rPr>
              <w:t>3.2.1 Realidade do sistema Penitenciário</w:t>
            </w:r>
          </w:p>
        </w:tc>
        <w:tc>
          <w:tcPr>
            <w:tcW w:w="2740" w:type="dxa"/>
            <w:vAlign w:val="bottom"/>
          </w:tcPr>
          <w:p w:rsidR="003F65BE" w:rsidRDefault="00CD6827">
            <w:pPr>
              <w:jc w:val="right"/>
              <w:rPr>
                <w:sz w:val="20"/>
                <w:szCs w:val="20"/>
              </w:rPr>
            </w:pPr>
            <w:r>
              <w:rPr>
                <w:rFonts w:eastAsia="Times New Roman"/>
                <w:sz w:val="24"/>
                <w:szCs w:val="24"/>
              </w:rPr>
              <w:t>42</w:t>
            </w:r>
          </w:p>
        </w:tc>
      </w:tr>
    </w:tbl>
    <w:p w:rsidR="003F65BE" w:rsidRDefault="00CD6827">
      <w:pPr>
        <w:ind w:left="260"/>
        <w:rPr>
          <w:sz w:val="20"/>
          <w:szCs w:val="20"/>
        </w:rPr>
      </w:pPr>
      <w:r>
        <w:rPr>
          <w:rFonts w:eastAsia="Times New Roman"/>
          <w:sz w:val="24"/>
          <w:szCs w:val="24"/>
        </w:rPr>
        <w:t>3.3 Hipóteses recorrentes em que o consentimento da vítima descaracte</w:t>
      </w:r>
      <w:r>
        <w:rPr>
          <w:rFonts w:eastAsia="Times New Roman"/>
          <w:sz w:val="24"/>
          <w:szCs w:val="24"/>
        </w:rPr>
        <w:t>riza o crime de estupro</w:t>
      </w:r>
    </w:p>
    <w:tbl>
      <w:tblPr>
        <w:tblW w:w="0" w:type="auto"/>
        <w:tblInd w:w="260" w:type="dxa"/>
        <w:tblLayout w:type="fixed"/>
        <w:tblCellMar>
          <w:left w:w="0" w:type="dxa"/>
          <w:right w:w="0" w:type="dxa"/>
        </w:tblCellMar>
        <w:tblLook w:val="04A0" w:firstRow="1" w:lastRow="0" w:firstColumn="1" w:lastColumn="0" w:noHBand="0" w:noVBand="1"/>
      </w:tblPr>
      <w:tblGrid>
        <w:gridCol w:w="520"/>
        <w:gridCol w:w="5820"/>
        <w:gridCol w:w="2740"/>
      </w:tblGrid>
      <w:tr w:rsidR="003F65BE">
        <w:trPr>
          <w:trHeight w:val="276"/>
        </w:trPr>
        <w:tc>
          <w:tcPr>
            <w:tcW w:w="6340" w:type="dxa"/>
            <w:gridSpan w:val="2"/>
            <w:vAlign w:val="bottom"/>
          </w:tcPr>
          <w:p w:rsidR="003F65BE" w:rsidRDefault="00CD6827">
            <w:pPr>
              <w:rPr>
                <w:sz w:val="20"/>
                <w:szCs w:val="20"/>
              </w:rPr>
            </w:pPr>
            <w:r>
              <w:rPr>
                <w:rFonts w:eastAsia="Times New Roman"/>
                <w:sz w:val="24"/>
                <w:szCs w:val="24"/>
              </w:rPr>
              <w:t>de vulnerável</w:t>
            </w:r>
          </w:p>
        </w:tc>
        <w:tc>
          <w:tcPr>
            <w:tcW w:w="2740" w:type="dxa"/>
            <w:vAlign w:val="bottom"/>
          </w:tcPr>
          <w:p w:rsidR="003F65BE" w:rsidRDefault="00CD6827">
            <w:pPr>
              <w:jc w:val="right"/>
              <w:rPr>
                <w:sz w:val="20"/>
                <w:szCs w:val="20"/>
              </w:rPr>
            </w:pPr>
            <w:r>
              <w:rPr>
                <w:rFonts w:eastAsia="Times New Roman"/>
                <w:sz w:val="24"/>
                <w:szCs w:val="24"/>
              </w:rPr>
              <w:t>43</w:t>
            </w:r>
          </w:p>
        </w:tc>
      </w:tr>
      <w:tr w:rsidR="003F65BE">
        <w:trPr>
          <w:trHeight w:val="276"/>
        </w:trPr>
        <w:tc>
          <w:tcPr>
            <w:tcW w:w="520" w:type="dxa"/>
            <w:vAlign w:val="bottom"/>
          </w:tcPr>
          <w:p w:rsidR="003F65BE" w:rsidRDefault="00CD6827">
            <w:pPr>
              <w:rPr>
                <w:sz w:val="20"/>
                <w:szCs w:val="20"/>
              </w:rPr>
            </w:pPr>
            <w:r>
              <w:rPr>
                <w:rFonts w:eastAsia="Times New Roman"/>
                <w:sz w:val="24"/>
                <w:szCs w:val="24"/>
              </w:rPr>
              <w:t>3.3.1</w:t>
            </w:r>
          </w:p>
        </w:tc>
        <w:tc>
          <w:tcPr>
            <w:tcW w:w="5820" w:type="dxa"/>
            <w:vAlign w:val="bottom"/>
          </w:tcPr>
          <w:p w:rsidR="003F65BE" w:rsidRDefault="00CD6827">
            <w:pPr>
              <w:ind w:left="20"/>
              <w:rPr>
                <w:sz w:val="20"/>
                <w:szCs w:val="20"/>
              </w:rPr>
            </w:pPr>
            <w:r>
              <w:rPr>
                <w:rFonts w:eastAsia="Times New Roman"/>
                <w:sz w:val="24"/>
                <w:szCs w:val="24"/>
              </w:rPr>
              <w:t>Erro de tipo</w:t>
            </w:r>
          </w:p>
        </w:tc>
        <w:tc>
          <w:tcPr>
            <w:tcW w:w="2740" w:type="dxa"/>
            <w:vAlign w:val="bottom"/>
          </w:tcPr>
          <w:p w:rsidR="003F65BE" w:rsidRDefault="00CD6827">
            <w:pPr>
              <w:jc w:val="right"/>
              <w:rPr>
                <w:sz w:val="20"/>
                <w:szCs w:val="20"/>
              </w:rPr>
            </w:pPr>
            <w:r>
              <w:rPr>
                <w:rFonts w:eastAsia="Times New Roman"/>
                <w:sz w:val="24"/>
                <w:szCs w:val="24"/>
              </w:rPr>
              <w:t>44</w:t>
            </w:r>
          </w:p>
        </w:tc>
      </w:tr>
      <w:tr w:rsidR="003F65BE">
        <w:trPr>
          <w:trHeight w:val="276"/>
        </w:trPr>
        <w:tc>
          <w:tcPr>
            <w:tcW w:w="520" w:type="dxa"/>
            <w:vAlign w:val="bottom"/>
          </w:tcPr>
          <w:p w:rsidR="003F65BE" w:rsidRDefault="00CD6827">
            <w:pPr>
              <w:rPr>
                <w:sz w:val="20"/>
                <w:szCs w:val="20"/>
              </w:rPr>
            </w:pPr>
            <w:r>
              <w:rPr>
                <w:rFonts w:eastAsia="Times New Roman"/>
                <w:sz w:val="24"/>
                <w:szCs w:val="24"/>
              </w:rPr>
              <w:t>3.3.2</w:t>
            </w:r>
          </w:p>
        </w:tc>
        <w:tc>
          <w:tcPr>
            <w:tcW w:w="5820" w:type="dxa"/>
            <w:vAlign w:val="bottom"/>
          </w:tcPr>
          <w:p w:rsidR="003F65BE" w:rsidRDefault="00CD6827">
            <w:pPr>
              <w:ind w:left="20"/>
              <w:rPr>
                <w:sz w:val="20"/>
                <w:szCs w:val="20"/>
              </w:rPr>
            </w:pPr>
            <w:r>
              <w:rPr>
                <w:rFonts w:eastAsia="Times New Roman"/>
                <w:sz w:val="24"/>
                <w:szCs w:val="24"/>
              </w:rPr>
              <w:t>Namoro ou constituição de família</w:t>
            </w:r>
          </w:p>
        </w:tc>
        <w:tc>
          <w:tcPr>
            <w:tcW w:w="2740" w:type="dxa"/>
            <w:vAlign w:val="bottom"/>
          </w:tcPr>
          <w:p w:rsidR="003F65BE" w:rsidRDefault="00CD6827">
            <w:pPr>
              <w:jc w:val="right"/>
              <w:rPr>
                <w:sz w:val="20"/>
                <w:szCs w:val="20"/>
              </w:rPr>
            </w:pPr>
            <w:r>
              <w:rPr>
                <w:rFonts w:eastAsia="Times New Roman"/>
                <w:sz w:val="24"/>
                <w:szCs w:val="24"/>
              </w:rPr>
              <w:t>45</w:t>
            </w:r>
          </w:p>
        </w:tc>
      </w:tr>
      <w:tr w:rsidR="003F65BE">
        <w:trPr>
          <w:trHeight w:val="276"/>
        </w:trPr>
        <w:tc>
          <w:tcPr>
            <w:tcW w:w="6340" w:type="dxa"/>
            <w:gridSpan w:val="2"/>
            <w:vAlign w:val="bottom"/>
          </w:tcPr>
          <w:p w:rsidR="003F65BE" w:rsidRDefault="00CD6827">
            <w:pPr>
              <w:rPr>
                <w:sz w:val="20"/>
                <w:szCs w:val="20"/>
              </w:rPr>
            </w:pPr>
            <w:r>
              <w:rPr>
                <w:rFonts w:eastAsia="Times New Roman"/>
                <w:b/>
                <w:bCs/>
                <w:sz w:val="24"/>
                <w:szCs w:val="24"/>
              </w:rPr>
              <w:t>CONSIDERAÇOES FINAIS</w:t>
            </w:r>
          </w:p>
        </w:tc>
        <w:tc>
          <w:tcPr>
            <w:tcW w:w="2740" w:type="dxa"/>
            <w:vAlign w:val="bottom"/>
          </w:tcPr>
          <w:p w:rsidR="003F65BE" w:rsidRDefault="00CD6827">
            <w:pPr>
              <w:jc w:val="right"/>
              <w:rPr>
                <w:sz w:val="20"/>
                <w:szCs w:val="20"/>
              </w:rPr>
            </w:pPr>
            <w:r>
              <w:rPr>
                <w:rFonts w:eastAsia="Times New Roman"/>
                <w:sz w:val="24"/>
                <w:szCs w:val="24"/>
              </w:rPr>
              <w:t>47</w:t>
            </w:r>
          </w:p>
        </w:tc>
      </w:tr>
      <w:tr w:rsidR="003F65BE">
        <w:trPr>
          <w:trHeight w:val="276"/>
        </w:trPr>
        <w:tc>
          <w:tcPr>
            <w:tcW w:w="6340" w:type="dxa"/>
            <w:gridSpan w:val="2"/>
            <w:vAlign w:val="bottom"/>
          </w:tcPr>
          <w:p w:rsidR="003F65BE" w:rsidRDefault="00CD6827">
            <w:pPr>
              <w:rPr>
                <w:sz w:val="20"/>
                <w:szCs w:val="20"/>
              </w:rPr>
            </w:pPr>
            <w:r>
              <w:rPr>
                <w:rFonts w:eastAsia="Times New Roman"/>
                <w:b/>
                <w:bCs/>
                <w:sz w:val="24"/>
                <w:szCs w:val="24"/>
              </w:rPr>
              <w:t>REFERÊNCIAS</w:t>
            </w:r>
          </w:p>
        </w:tc>
        <w:tc>
          <w:tcPr>
            <w:tcW w:w="2740" w:type="dxa"/>
            <w:vAlign w:val="bottom"/>
          </w:tcPr>
          <w:p w:rsidR="003F65BE" w:rsidRDefault="00CD6827">
            <w:pPr>
              <w:jc w:val="right"/>
              <w:rPr>
                <w:sz w:val="20"/>
                <w:szCs w:val="20"/>
              </w:rPr>
            </w:pPr>
            <w:r>
              <w:rPr>
                <w:rFonts w:eastAsia="Times New Roman"/>
                <w:sz w:val="24"/>
                <w:szCs w:val="24"/>
              </w:rPr>
              <w:t>49</w:t>
            </w:r>
          </w:p>
        </w:tc>
      </w:tr>
    </w:tbl>
    <w:p w:rsidR="003F65BE" w:rsidRDefault="003F65BE">
      <w:pPr>
        <w:sectPr w:rsidR="003F65BE">
          <w:pgSz w:w="11900" w:h="16838"/>
          <w:pgMar w:top="1440" w:right="1126" w:bottom="1440"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8</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26" w:lineRule="exact"/>
        <w:rPr>
          <w:sz w:val="20"/>
          <w:szCs w:val="20"/>
        </w:rPr>
      </w:pPr>
    </w:p>
    <w:p w:rsidR="003F65BE" w:rsidRDefault="00CD6827">
      <w:pPr>
        <w:ind w:right="-259"/>
        <w:jc w:val="center"/>
        <w:rPr>
          <w:sz w:val="20"/>
          <w:szCs w:val="20"/>
        </w:rPr>
      </w:pPr>
      <w:r>
        <w:rPr>
          <w:rFonts w:eastAsia="Times New Roman"/>
          <w:sz w:val="24"/>
          <w:szCs w:val="24"/>
        </w:rPr>
        <w:t>INTRODUÇÃO</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7"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 xml:space="preserve">Esta pesquisa tem como tema “Estupro de Vulnerável nos Casos de </w:t>
      </w:r>
      <w:r>
        <w:rPr>
          <w:rFonts w:eastAsia="Times New Roman"/>
          <w:sz w:val="24"/>
          <w:szCs w:val="24"/>
        </w:rPr>
        <w:t>Consentimento da Vítima Menor de Quatorze Anos”, que traçou como problema a seguinte questão: o Consentimento da vítima menor de 14 anos possui relevância jurídico-penal para afastar a tipicidade do crime de estupro de vulnerável? Esse problema, por compor</w:t>
      </w:r>
      <w:r>
        <w:rPr>
          <w:rFonts w:eastAsia="Times New Roman"/>
          <w:sz w:val="24"/>
          <w:szCs w:val="24"/>
        </w:rPr>
        <w:t xml:space="preserve"> a estrutura da pesquisa, norteará o desenvolvimento dos capítulos expostos a seguir.</w:t>
      </w:r>
    </w:p>
    <w:p w:rsidR="003F65BE" w:rsidRDefault="003F65BE">
      <w:pPr>
        <w:spacing w:line="19" w:lineRule="exact"/>
        <w:rPr>
          <w:sz w:val="20"/>
          <w:szCs w:val="20"/>
        </w:rPr>
      </w:pPr>
    </w:p>
    <w:p w:rsidR="003F65BE" w:rsidRDefault="00CD6827">
      <w:pPr>
        <w:spacing w:line="359" w:lineRule="auto"/>
        <w:ind w:left="260" w:firstLine="1133"/>
        <w:jc w:val="both"/>
        <w:rPr>
          <w:sz w:val="20"/>
          <w:szCs w:val="20"/>
        </w:rPr>
      </w:pPr>
      <w:r>
        <w:rPr>
          <w:rFonts w:eastAsia="Times New Roman"/>
          <w:sz w:val="24"/>
          <w:szCs w:val="24"/>
        </w:rPr>
        <w:t>A partir desse problema, define-se como hipótese que, pela letra da lei, manter conjunção carnal com menores de 14 anos configura o crime de estupro de vulnerável previs</w:t>
      </w:r>
      <w:r>
        <w:rPr>
          <w:rFonts w:eastAsia="Times New Roman"/>
          <w:sz w:val="24"/>
          <w:szCs w:val="24"/>
        </w:rPr>
        <w:t>to no artigo 217-A do Código Penal Brasileiro, independentemente do consentimento da vítima. Todavia, essa análise objetiva sem considerar o caso concreto não corresponde com a atualidade vigente, pois existem adolescentes com experiência sexual e aparênci</w:t>
      </w:r>
      <w:r>
        <w:rPr>
          <w:rFonts w:eastAsia="Times New Roman"/>
          <w:sz w:val="24"/>
          <w:szCs w:val="24"/>
        </w:rPr>
        <w:t>a de maior de 18 anos, o que descaracteriza a expressão de vulnerabilidade na compreensão social e moral da palavra. Dessa maneira, em tese, manter relação sexual com menores de 14 anos caracteriza/tipifica o crime de estupro de vulnerável, previsto no ref</w:t>
      </w:r>
      <w:r>
        <w:rPr>
          <w:rFonts w:eastAsia="Times New Roman"/>
          <w:sz w:val="24"/>
          <w:szCs w:val="24"/>
        </w:rPr>
        <w:t>erido dispositivo, o que poderá ser afastado no caso concreto, diante de uma análise dos princípios da proporcionalidade, adequação social e intervenção mínima, nas hipóteses de experiência sexual da vítima, de sua aparência e compleição física, das circun</w:t>
      </w:r>
      <w:r>
        <w:rPr>
          <w:rFonts w:eastAsia="Times New Roman"/>
          <w:sz w:val="24"/>
          <w:szCs w:val="24"/>
        </w:rPr>
        <w:t>stâncias e contexto do fato, quem é o agente e sua relação com vítima, e demais circunstâncias presentes no fato concreto.</w:t>
      </w:r>
    </w:p>
    <w:p w:rsidR="003F65BE" w:rsidRDefault="003F65BE">
      <w:pPr>
        <w:spacing w:line="13"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Feito o esboço da ideia central da pesquisa, verifica-se que esta se justifica juridicamente em razão da divergência sobre o tema na</w:t>
      </w:r>
      <w:r>
        <w:rPr>
          <w:rFonts w:eastAsia="Times New Roman"/>
          <w:sz w:val="24"/>
          <w:szCs w:val="24"/>
        </w:rPr>
        <w:t>s decisões de primeiro e segundo grau, ora entendendo que o consentimento tem relevância jurídica para uma descaracterização de uma conduta ilícita, ora por entender que é irrelevante e que menores de 14 anos tem proteção integral.</w:t>
      </w:r>
    </w:p>
    <w:p w:rsidR="003F65BE" w:rsidRDefault="003F65BE">
      <w:pPr>
        <w:spacing w:line="19"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 xml:space="preserve">Além disso, </w:t>
      </w:r>
      <w:r>
        <w:rPr>
          <w:rFonts w:eastAsia="Times New Roman"/>
          <w:sz w:val="24"/>
          <w:szCs w:val="24"/>
        </w:rPr>
        <w:t>justifica-se socialmente em razão da grande mudança que tem ocorrido na sociedade, por influência do desenvolvimento dos meios de comunicação, o que tem levado a transformações sociais, por consequências, mudanças comportamentais.</w:t>
      </w:r>
    </w:p>
    <w:p w:rsidR="003F65BE" w:rsidRDefault="003F65BE">
      <w:pPr>
        <w:spacing w:line="20"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Por fim, justifica-se mo</w:t>
      </w:r>
      <w:r>
        <w:rPr>
          <w:rFonts w:eastAsia="Times New Roman"/>
          <w:sz w:val="24"/>
          <w:szCs w:val="24"/>
        </w:rPr>
        <w:t>ralmente porque todas as transformações pelas quais a sociedade passou e vem passando provocaram mudanças de valores familiares, além de uma compreensão de maior liberalidade sobre o namoro e o ato sexual, e uma flexibilização no conceito de família-casame</w:t>
      </w:r>
      <w:r>
        <w:rPr>
          <w:rFonts w:eastAsia="Times New Roman"/>
          <w:sz w:val="24"/>
          <w:szCs w:val="24"/>
        </w:rPr>
        <w:t>nto.</w:t>
      </w:r>
    </w:p>
    <w:p w:rsidR="003F65BE" w:rsidRDefault="003F65BE">
      <w:pPr>
        <w:spacing w:line="18" w:lineRule="exact"/>
        <w:rPr>
          <w:sz w:val="20"/>
          <w:szCs w:val="20"/>
        </w:rPr>
      </w:pPr>
    </w:p>
    <w:p w:rsidR="003F65BE" w:rsidRDefault="00CD6827">
      <w:pPr>
        <w:spacing w:line="350" w:lineRule="auto"/>
        <w:ind w:left="260" w:firstLine="1133"/>
        <w:jc w:val="both"/>
        <w:rPr>
          <w:sz w:val="20"/>
          <w:szCs w:val="20"/>
        </w:rPr>
      </w:pPr>
      <w:r>
        <w:rPr>
          <w:rFonts w:eastAsia="Times New Roman"/>
          <w:sz w:val="24"/>
          <w:szCs w:val="24"/>
        </w:rPr>
        <w:t>Para se chegar à resposta do problema proposto, define-se como objetivo geral apurar se o consentimento da vítima menor de 14 anos possui relevância jurídico-penal para</w:t>
      </w:r>
    </w:p>
    <w:p w:rsidR="003F65BE" w:rsidRDefault="003F65BE">
      <w:pPr>
        <w:sectPr w:rsidR="003F65BE">
          <w:pgSz w:w="11900" w:h="16838"/>
          <w:pgMar w:top="699" w:right="1126" w:bottom="515"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9</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60" w:lineRule="auto"/>
        <w:ind w:left="260"/>
        <w:jc w:val="both"/>
        <w:rPr>
          <w:sz w:val="20"/>
          <w:szCs w:val="20"/>
        </w:rPr>
      </w:pPr>
      <w:r>
        <w:rPr>
          <w:rFonts w:eastAsia="Times New Roman"/>
          <w:sz w:val="24"/>
          <w:szCs w:val="24"/>
        </w:rPr>
        <w:t xml:space="preserve">afastar a tipicidade do crime de estupro de </w:t>
      </w:r>
      <w:r>
        <w:rPr>
          <w:rFonts w:eastAsia="Times New Roman"/>
          <w:sz w:val="24"/>
          <w:szCs w:val="24"/>
        </w:rPr>
        <w:t>vulnerável. Para alcançá-lo, fixam-se como objetivos específicos: fazer uma análise jurídica do crime de estupro de vulnerável, comparando o entendimento anterior e posterior da Lei nº 12015/09; estudar os bens jurídicos “dignidade sexual” e “família” para</w:t>
      </w:r>
      <w:r>
        <w:rPr>
          <w:rFonts w:eastAsia="Times New Roman"/>
          <w:sz w:val="24"/>
          <w:szCs w:val="24"/>
        </w:rPr>
        <w:t xml:space="preserve"> compreensão da tipificação ou não no crime de estupro de vulnerável quando há o consentimento da vítima menor de 14 anos; examinar a descaracterização do crime de estupro de vulnerável uma vez verificado o consentimento da vítima menor de 14 anos diante d</w:t>
      </w:r>
      <w:r>
        <w:rPr>
          <w:rFonts w:eastAsia="Times New Roman"/>
          <w:sz w:val="24"/>
          <w:szCs w:val="24"/>
        </w:rPr>
        <w:t>as hipóteses de erro de tipo e constituição de família/namoro.</w:t>
      </w:r>
    </w:p>
    <w:p w:rsidR="003F65BE" w:rsidRDefault="003F65BE">
      <w:pPr>
        <w:spacing w:line="200" w:lineRule="exact"/>
        <w:rPr>
          <w:sz w:val="20"/>
          <w:szCs w:val="20"/>
        </w:rPr>
      </w:pPr>
    </w:p>
    <w:p w:rsidR="003F65BE" w:rsidRDefault="003F65BE">
      <w:pPr>
        <w:spacing w:line="214"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 xml:space="preserve">Pela hipótese apresentada, infere-se que há divergência entre o que preceitua a lei (tipificação da conduta) e o que minoritariamente entendem certos doutrinadores. Isso porque, para a lei e </w:t>
      </w:r>
      <w:r>
        <w:rPr>
          <w:rFonts w:eastAsia="Times New Roman"/>
          <w:sz w:val="24"/>
          <w:szCs w:val="24"/>
        </w:rPr>
        <w:t xml:space="preserve">para a doutrina majoritária, indiscutivelmente é crime ter relação sexual com menor de 14 anos, ainda que com seu consentimento, por proteger a criança e o adolescente. Por outro lado, minoritariamente deve-se analisar o caso concreto para então julgar se </w:t>
      </w:r>
      <w:r>
        <w:rPr>
          <w:rFonts w:eastAsia="Times New Roman"/>
          <w:sz w:val="24"/>
          <w:szCs w:val="24"/>
        </w:rPr>
        <w:t>é caso de tipificação ou não do crime, a fim de promover justiça, evitando erro judiciário ao processar e/ou condenar pai de família ou pessoa que se equivocou quanto ao “menor de 14 anos”.</w:t>
      </w:r>
    </w:p>
    <w:p w:rsidR="003F65BE" w:rsidRDefault="003F65BE">
      <w:pPr>
        <w:spacing w:line="19"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Diante disso, compartilha-se do posicionamento da minoria de que a (a) tipificação do crime de estupro de vulnerável com consentimento da vítima dependerá de uma análise do caso concreto. Para tanto, a pesquisa teve como principais marcos teóricos o pensam</w:t>
      </w:r>
      <w:r>
        <w:rPr>
          <w:rFonts w:eastAsia="Times New Roman"/>
          <w:sz w:val="24"/>
          <w:szCs w:val="24"/>
        </w:rPr>
        <w:t xml:space="preserve">ento de Guilherme de Souza, contido na obra </w:t>
      </w:r>
      <w:r>
        <w:rPr>
          <w:rFonts w:eastAsia="Times New Roman"/>
          <w:i/>
          <w:iCs/>
          <w:sz w:val="24"/>
          <w:szCs w:val="24"/>
        </w:rPr>
        <w:t>Crimes Contra Dignidade Sexual</w:t>
      </w:r>
      <w:r>
        <w:rPr>
          <w:rFonts w:eastAsia="Times New Roman"/>
          <w:sz w:val="24"/>
          <w:szCs w:val="24"/>
        </w:rPr>
        <w:t xml:space="preserve">, Revista dos Tribunais, São Paulo, 2010, e Júlio Fabbrini Mirabete, contido na obra </w:t>
      </w:r>
      <w:r>
        <w:rPr>
          <w:rFonts w:eastAsia="Times New Roman"/>
          <w:i/>
          <w:iCs/>
          <w:sz w:val="24"/>
          <w:szCs w:val="24"/>
        </w:rPr>
        <w:t>Manual de</w:t>
      </w:r>
      <w:r>
        <w:rPr>
          <w:rFonts w:eastAsia="Times New Roman"/>
          <w:sz w:val="24"/>
          <w:szCs w:val="24"/>
        </w:rPr>
        <w:t xml:space="preserve"> </w:t>
      </w:r>
      <w:r>
        <w:rPr>
          <w:rFonts w:eastAsia="Times New Roman"/>
          <w:i/>
          <w:iCs/>
          <w:sz w:val="24"/>
          <w:szCs w:val="24"/>
        </w:rPr>
        <w:t>Direito Penal</w:t>
      </w:r>
      <w:r>
        <w:rPr>
          <w:rFonts w:eastAsia="Times New Roman"/>
          <w:sz w:val="24"/>
          <w:szCs w:val="24"/>
        </w:rPr>
        <w:t>, São Paulo, Atlas, 2011.</w:t>
      </w:r>
    </w:p>
    <w:p w:rsidR="003F65BE" w:rsidRDefault="003F65BE">
      <w:pPr>
        <w:spacing w:line="19" w:lineRule="exact"/>
        <w:rPr>
          <w:sz w:val="20"/>
          <w:szCs w:val="20"/>
        </w:rPr>
      </w:pPr>
    </w:p>
    <w:p w:rsidR="003F65BE" w:rsidRDefault="00CD6827">
      <w:pPr>
        <w:spacing w:line="354" w:lineRule="auto"/>
        <w:ind w:left="260" w:firstLine="1133"/>
        <w:jc w:val="both"/>
        <w:rPr>
          <w:sz w:val="20"/>
          <w:szCs w:val="20"/>
        </w:rPr>
      </w:pPr>
      <w:bookmarkStart w:id="0" w:name="_GoBack"/>
      <w:bookmarkEnd w:id="0"/>
      <w:r>
        <w:rPr>
          <w:rFonts w:eastAsia="Times New Roman"/>
          <w:sz w:val="24"/>
          <w:szCs w:val="24"/>
        </w:rPr>
        <w:t>Sobre a metodologia de pesquisa, quanto aos obj</w:t>
      </w:r>
      <w:r>
        <w:rPr>
          <w:rFonts w:eastAsia="Times New Roman"/>
          <w:sz w:val="24"/>
          <w:szCs w:val="24"/>
        </w:rPr>
        <w:t>etivos, a pesquisa fundou-se na exploratória, pois o estudo restringe a um trabalho bibliográfico; razão pela qual, quanto ao problema, a pesquisa é qualitativa, por se restringir a ideias, e não a dados estatísticos. Quanto</w:t>
      </w:r>
    </w:p>
    <w:p w:rsidR="003F65BE" w:rsidRDefault="003F65BE">
      <w:pPr>
        <w:spacing w:line="22" w:lineRule="exact"/>
        <w:rPr>
          <w:sz w:val="20"/>
          <w:szCs w:val="20"/>
        </w:rPr>
      </w:pPr>
    </w:p>
    <w:p w:rsidR="003F65BE" w:rsidRDefault="00CD6827">
      <w:pPr>
        <w:numPr>
          <w:ilvl w:val="0"/>
          <w:numId w:val="2"/>
        </w:numPr>
        <w:tabs>
          <w:tab w:val="left" w:pos="433"/>
        </w:tabs>
        <w:spacing w:line="357" w:lineRule="auto"/>
        <w:ind w:left="260" w:firstLine="2"/>
        <w:jc w:val="both"/>
        <w:rPr>
          <w:rFonts w:eastAsia="Times New Roman"/>
          <w:sz w:val="24"/>
          <w:szCs w:val="24"/>
        </w:rPr>
      </w:pPr>
      <w:r>
        <w:rPr>
          <w:rFonts w:eastAsia="Times New Roman"/>
          <w:sz w:val="24"/>
          <w:szCs w:val="24"/>
        </w:rPr>
        <w:t>técnica de pesquisa, limita-se</w:t>
      </w:r>
      <w:r>
        <w:rPr>
          <w:rFonts w:eastAsia="Times New Roman"/>
          <w:sz w:val="24"/>
          <w:szCs w:val="24"/>
        </w:rPr>
        <w:t xml:space="preserve"> a uma pesquisa bibliográfica, partindo de fontes secundárias e primárias, sem haver estudo de documento específico. Por fim, quanto ao método de pesquisa, é o dedutivo, em face de partir de uma ideia geral consistente no que determina a lei (artigo 217- A</w:t>
      </w:r>
      <w:r>
        <w:rPr>
          <w:rFonts w:eastAsia="Times New Roman"/>
          <w:sz w:val="24"/>
          <w:szCs w:val="24"/>
        </w:rPr>
        <w:t xml:space="preserve"> do Código Penal com a redação dada pela Lei nº 12015/09), para uma ideia específica, consistente na análise da (a)tipificação do crime diante de uma análise concreta.</w:t>
      </w:r>
    </w:p>
    <w:p w:rsidR="003F65BE" w:rsidRDefault="003F65BE">
      <w:pPr>
        <w:spacing w:line="16" w:lineRule="exact"/>
        <w:rPr>
          <w:rFonts w:eastAsia="Times New Roman"/>
          <w:sz w:val="24"/>
          <w:szCs w:val="24"/>
        </w:rPr>
      </w:pPr>
    </w:p>
    <w:p w:rsidR="003F65BE" w:rsidRDefault="00CD6827">
      <w:pPr>
        <w:spacing w:line="350" w:lineRule="auto"/>
        <w:ind w:left="260" w:right="20" w:firstLine="1133"/>
        <w:rPr>
          <w:rFonts w:eastAsia="Times New Roman"/>
          <w:sz w:val="24"/>
          <w:szCs w:val="24"/>
        </w:rPr>
      </w:pPr>
      <w:r>
        <w:rPr>
          <w:rFonts w:eastAsia="Times New Roman"/>
          <w:sz w:val="24"/>
          <w:szCs w:val="24"/>
        </w:rPr>
        <w:t>O Primeiro Capítulo discorre sobre a classificação do crime de estupro de vulnerável pr</w:t>
      </w:r>
      <w:r>
        <w:rPr>
          <w:rFonts w:eastAsia="Times New Roman"/>
          <w:sz w:val="24"/>
          <w:szCs w:val="24"/>
        </w:rPr>
        <w:t>evisto no artigo 217- A do Código Penal, antes e após a Lei nº 12015/09.</w:t>
      </w:r>
    </w:p>
    <w:p w:rsidR="003F65BE" w:rsidRDefault="003F65BE">
      <w:pPr>
        <w:spacing w:line="22" w:lineRule="exact"/>
        <w:rPr>
          <w:rFonts w:eastAsia="Times New Roman"/>
          <w:sz w:val="24"/>
          <w:szCs w:val="24"/>
        </w:rPr>
      </w:pPr>
    </w:p>
    <w:p w:rsidR="003F65BE" w:rsidRDefault="00CD6827">
      <w:pPr>
        <w:spacing w:line="350" w:lineRule="auto"/>
        <w:ind w:left="260" w:firstLine="1133"/>
        <w:jc w:val="both"/>
        <w:rPr>
          <w:rFonts w:eastAsia="Times New Roman"/>
          <w:sz w:val="24"/>
          <w:szCs w:val="24"/>
        </w:rPr>
      </w:pPr>
      <w:r>
        <w:rPr>
          <w:rFonts w:eastAsia="Times New Roman"/>
          <w:sz w:val="24"/>
          <w:szCs w:val="24"/>
        </w:rPr>
        <w:t>O Segundo Capítulo consta de um estudo sobre os bens jurídicos “dignidade sexual” previsto no Título VI do Código Penal e o bem jurídico “família”, para demonstrar a</w:t>
      </w:r>
    </w:p>
    <w:p w:rsidR="003F65BE" w:rsidRDefault="003F65BE">
      <w:pPr>
        <w:sectPr w:rsidR="003F65BE">
          <w:pgSz w:w="11900" w:h="16838"/>
          <w:pgMar w:top="699" w:right="1126" w:bottom="515"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10</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48" w:lineRule="auto"/>
        <w:ind w:left="260"/>
        <w:jc w:val="both"/>
        <w:rPr>
          <w:sz w:val="20"/>
          <w:szCs w:val="20"/>
        </w:rPr>
      </w:pPr>
      <w:r>
        <w:rPr>
          <w:rFonts w:eastAsia="Times New Roman"/>
          <w:sz w:val="24"/>
          <w:szCs w:val="24"/>
        </w:rPr>
        <w:t>compreensão atual de tais bens jurídicos, para se compreender o conceito de vulnerabilidade previsto no mencionado tipo.</w:t>
      </w:r>
    </w:p>
    <w:p w:rsidR="003F65BE" w:rsidRDefault="003F65BE">
      <w:pPr>
        <w:spacing w:line="28"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 xml:space="preserve">O Terceiro Capítulo trata do objeto de pesquisa, em que se apontam os diversos conceitos de </w:t>
      </w:r>
      <w:r>
        <w:rPr>
          <w:rFonts w:eastAsia="Times New Roman"/>
          <w:sz w:val="24"/>
          <w:szCs w:val="24"/>
        </w:rPr>
        <w:t>vulnerabilidade e as hipóteses mais recorrentes em que a tipificação no crime de estupro de vulnerável, quando há o consentimento do menor de 14 anos, configuraria uma injustiça penal.</w:t>
      </w:r>
    </w:p>
    <w:p w:rsidR="003F65BE" w:rsidRDefault="003F65BE">
      <w:pPr>
        <w:sectPr w:rsidR="003F65BE">
          <w:pgSz w:w="11900" w:h="16838"/>
          <w:pgMar w:top="699" w:right="1126" w:bottom="1440"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11</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1" w:lineRule="exact"/>
        <w:rPr>
          <w:sz w:val="20"/>
          <w:szCs w:val="20"/>
        </w:rPr>
      </w:pPr>
    </w:p>
    <w:p w:rsidR="003F65BE" w:rsidRDefault="00CD6827">
      <w:pPr>
        <w:ind w:left="260"/>
        <w:rPr>
          <w:sz w:val="20"/>
          <w:szCs w:val="20"/>
        </w:rPr>
      </w:pPr>
      <w:r>
        <w:rPr>
          <w:rFonts w:eastAsia="Times New Roman"/>
          <w:b/>
          <w:bCs/>
          <w:sz w:val="24"/>
          <w:szCs w:val="24"/>
        </w:rPr>
        <w:t xml:space="preserve">1. ANÁLISE JURÍDICA DO CRIME DE ESTUPRO DE </w:t>
      </w:r>
      <w:r>
        <w:rPr>
          <w:rFonts w:eastAsia="Times New Roman"/>
          <w:b/>
          <w:bCs/>
          <w:sz w:val="24"/>
          <w:szCs w:val="24"/>
        </w:rPr>
        <w:t>VULNERÁVEL</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A elaboração do presente capítulo tem por finalidade realizar uma análise jurídica do crime de estupro de vulnerável. Os aspectos mais ressaltantes e controversos serão abordados, levando a uma interpretação ordenada deste crime com visões d</w:t>
      </w:r>
      <w:r>
        <w:rPr>
          <w:rFonts w:eastAsia="Times New Roman"/>
          <w:sz w:val="24"/>
          <w:szCs w:val="24"/>
        </w:rPr>
        <w:t>e vários doutrinadores.</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0" w:lineRule="exact"/>
        <w:rPr>
          <w:sz w:val="20"/>
          <w:szCs w:val="20"/>
        </w:rPr>
      </w:pPr>
    </w:p>
    <w:p w:rsidR="003F65BE" w:rsidRDefault="00CD6827">
      <w:pPr>
        <w:ind w:left="260"/>
        <w:rPr>
          <w:sz w:val="20"/>
          <w:szCs w:val="20"/>
        </w:rPr>
      </w:pPr>
      <w:r>
        <w:rPr>
          <w:rFonts w:eastAsia="Times New Roman"/>
          <w:b/>
          <w:bCs/>
          <w:sz w:val="24"/>
          <w:szCs w:val="24"/>
        </w:rPr>
        <w:t>1.1 Estupro de menor de 14 anos antes da Lei n° 12.015, de 7 de Agosto de 2009.</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5"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Preliminarmente, cabe dizer que o crime de estupro de menor de 14 anos configurava-se na conduta típica do artigo 213, conforme preleciona Celso</w:t>
      </w:r>
      <w:r>
        <w:rPr>
          <w:rFonts w:eastAsia="Times New Roman"/>
          <w:sz w:val="24"/>
          <w:szCs w:val="24"/>
        </w:rPr>
        <w:t xml:space="preserve"> Delmanto (2000, p. 412-417). Veja como se definia o estupro na letra do referido artigo de lei:</w:t>
      </w:r>
    </w:p>
    <w:p w:rsidR="003F65BE" w:rsidRDefault="003F65BE">
      <w:pPr>
        <w:spacing w:line="18" w:lineRule="exact"/>
        <w:rPr>
          <w:sz w:val="20"/>
          <w:szCs w:val="20"/>
        </w:rPr>
      </w:pPr>
    </w:p>
    <w:p w:rsidR="003F65BE" w:rsidRDefault="00CD6827">
      <w:pPr>
        <w:spacing w:line="234" w:lineRule="auto"/>
        <w:ind w:left="2540" w:right="20"/>
        <w:rPr>
          <w:sz w:val="20"/>
          <w:szCs w:val="20"/>
        </w:rPr>
      </w:pPr>
      <w:r>
        <w:rPr>
          <w:rFonts w:eastAsia="Times New Roman"/>
          <w:sz w:val="20"/>
          <w:szCs w:val="20"/>
        </w:rPr>
        <w:t>Art. 213. Constranger mulher à conjunção carnal, mediante violência ou grave ameaça:</w:t>
      </w:r>
    </w:p>
    <w:p w:rsidR="003F65BE" w:rsidRDefault="003F65BE">
      <w:pPr>
        <w:spacing w:line="1" w:lineRule="exact"/>
        <w:rPr>
          <w:sz w:val="20"/>
          <w:szCs w:val="20"/>
        </w:rPr>
      </w:pPr>
    </w:p>
    <w:p w:rsidR="003F65BE" w:rsidRDefault="00CD6827">
      <w:pPr>
        <w:ind w:left="2540"/>
        <w:rPr>
          <w:sz w:val="20"/>
          <w:szCs w:val="20"/>
        </w:rPr>
      </w:pPr>
      <w:r>
        <w:rPr>
          <w:rFonts w:eastAsia="Times New Roman"/>
          <w:sz w:val="20"/>
          <w:szCs w:val="20"/>
        </w:rPr>
        <w:t>Pena – reclusão, de seis a dez anos.</w:t>
      </w:r>
    </w:p>
    <w:p w:rsidR="003F65BE" w:rsidRDefault="003F65BE">
      <w:pPr>
        <w:spacing w:line="241"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Antes da mencionada lei, o crime d</w:t>
      </w:r>
      <w:r>
        <w:rPr>
          <w:rFonts w:eastAsia="Times New Roman"/>
          <w:sz w:val="24"/>
          <w:szCs w:val="24"/>
        </w:rPr>
        <w:t xml:space="preserve">e estupro d vulnerável menor de 14 anos constava do Título VI, Capítulo I, no campo “Dos crimes contra os costumes” sob o ponto de vista sexual, reprimindo as condutas consideradas anormais e que afetava a moral da sociedade patriarcal, na qual a proteção </w:t>
      </w:r>
      <w:r>
        <w:rPr>
          <w:rFonts w:eastAsia="Times New Roman"/>
          <w:sz w:val="24"/>
          <w:szCs w:val="24"/>
        </w:rPr>
        <w:t>dos bons costumes sobressaía juridicamente em face da liberdade sexual. Primava somente pela moralidade sexual e seus reflexos na instituição família, e não os direitos fundamentais do indivíduo (CAPEZ, 2010, p. 24).</w:t>
      </w:r>
    </w:p>
    <w:p w:rsidR="003F65BE" w:rsidRDefault="003F65BE">
      <w:pPr>
        <w:spacing w:line="14"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O estupro de vulnerável menor de 14 an</w:t>
      </w:r>
      <w:r>
        <w:rPr>
          <w:rFonts w:eastAsia="Times New Roman"/>
          <w:sz w:val="24"/>
          <w:szCs w:val="24"/>
        </w:rPr>
        <w:t>os contava com a presunção de violência induzida pelo artigo 224, do Código Penal, o qual trazia as hipóteses de presunção de violência para configuração dos crimes relacionados à dignidade sexual. “Se a vítima: Não fosse maior de catorze anos; Fosse alien</w:t>
      </w:r>
      <w:r>
        <w:rPr>
          <w:rFonts w:eastAsia="Times New Roman"/>
          <w:sz w:val="24"/>
          <w:szCs w:val="24"/>
        </w:rPr>
        <w:t>ada ou débil mental e o agente conhecia essas circunstâncias; Não pudesse, por qualquer outra causa, oferecer resistência” (CAPEZ, 2011, p. 80).</w:t>
      </w:r>
    </w:p>
    <w:p w:rsidR="003F65BE" w:rsidRDefault="003F65BE">
      <w:pPr>
        <w:spacing w:line="15" w:lineRule="exact"/>
        <w:rPr>
          <w:sz w:val="20"/>
          <w:szCs w:val="20"/>
        </w:rPr>
      </w:pPr>
    </w:p>
    <w:p w:rsidR="003F65BE" w:rsidRDefault="00CD6827">
      <w:pPr>
        <w:spacing w:line="350" w:lineRule="auto"/>
        <w:ind w:left="260" w:firstLine="1133"/>
        <w:jc w:val="both"/>
        <w:rPr>
          <w:sz w:val="20"/>
          <w:szCs w:val="20"/>
        </w:rPr>
      </w:pPr>
      <w:r>
        <w:rPr>
          <w:rFonts w:eastAsia="Times New Roman"/>
          <w:sz w:val="24"/>
          <w:szCs w:val="24"/>
        </w:rPr>
        <w:t>Celso Delmanto (2000, p. 430), também preleciona sobre a presunção de violência. A respeito, veja o teor do re</w:t>
      </w:r>
      <w:r>
        <w:rPr>
          <w:rFonts w:eastAsia="Times New Roman"/>
          <w:sz w:val="24"/>
          <w:szCs w:val="24"/>
        </w:rPr>
        <w:t>ferido artigo de lei:</w:t>
      </w:r>
    </w:p>
    <w:p w:rsidR="003F65BE" w:rsidRDefault="003F65BE">
      <w:pPr>
        <w:spacing w:line="10" w:lineRule="exact"/>
        <w:rPr>
          <w:sz w:val="20"/>
          <w:szCs w:val="20"/>
        </w:rPr>
      </w:pPr>
    </w:p>
    <w:p w:rsidR="003F65BE" w:rsidRDefault="00CD6827">
      <w:pPr>
        <w:ind w:left="2540"/>
        <w:rPr>
          <w:sz w:val="20"/>
          <w:szCs w:val="20"/>
        </w:rPr>
      </w:pPr>
      <w:r>
        <w:rPr>
          <w:rFonts w:eastAsia="Times New Roman"/>
          <w:sz w:val="20"/>
          <w:szCs w:val="20"/>
        </w:rPr>
        <w:t>Art. 224. Presume-se a violência, se a vítima:</w:t>
      </w:r>
    </w:p>
    <w:p w:rsidR="003F65BE" w:rsidRDefault="00CD6827">
      <w:pPr>
        <w:numPr>
          <w:ilvl w:val="0"/>
          <w:numId w:val="3"/>
        </w:numPr>
        <w:tabs>
          <w:tab w:val="left" w:pos="2900"/>
        </w:tabs>
        <w:ind w:left="2900" w:hanging="369"/>
        <w:rPr>
          <w:rFonts w:eastAsia="Times New Roman"/>
          <w:sz w:val="20"/>
          <w:szCs w:val="20"/>
        </w:rPr>
      </w:pPr>
      <w:r>
        <w:rPr>
          <w:rFonts w:eastAsia="Times New Roman"/>
          <w:sz w:val="20"/>
          <w:szCs w:val="20"/>
        </w:rPr>
        <w:t>não é maior de catorze anos</w:t>
      </w:r>
    </w:p>
    <w:p w:rsidR="003F65BE" w:rsidRDefault="00CD6827">
      <w:pPr>
        <w:numPr>
          <w:ilvl w:val="0"/>
          <w:numId w:val="3"/>
        </w:numPr>
        <w:tabs>
          <w:tab w:val="left" w:pos="2900"/>
        </w:tabs>
        <w:ind w:left="2900" w:hanging="369"/>
        <w:rPr>
          <w:rFonts w:eastAsia="Times New Roman"/>
          <w:sz w:val="20"/>
          <w:szCs w:val="20"/>
        </w:rPr>
      </w:pPr>
      <w:r>
        <w:rPr>
          <w:rFonts w:eastAsia="Times New Roman"/>
          <w:sz w:val="20"/>
          <w:szCs w:val="20"/>
        </w:rPr>
        <w:t>é alienada ou débil mental, e o agente conhecia esta circunstância;</w:t>
      </w:r>
    </w:p>
    <w:p w:rsidR="003F65BE" w:rsidRDefault="00CD6827">
      <w:pPr>
        <w:numPr>
          <w:ilvl w:val="0"/>
          <w:numId w:val="3"/>
        </w:numPr>
        <w:tabs>
          <w:tab w:val="left" w:pos="2900"/>
        </w:tabs>
        <w:ind w:left="2900" w:hanging="369"/>
        <w:rPr>
          <w:rFonts w:eastAsia="Times New Roman"/>
          <w:sz w:val="20"/>
          <w:szCs w:val="20"/>
        </w:rPr>
      </w:pPr>
      <w:r>
        <w:rPr>
          <w:rFonts w:eastAsia="Times New Roman"/>
          <w:sz w:val="20"/>
          <w:szCs w:val="20"/>
        </w:rPr>
        <w:t>não pode, por qualquer outra causa, oferecer resistência.</w:t>
      </w:r>
    </w:p>
    <w:p w:rsidR="003F65BE" w:rsidRDefault="003F65BE">
      <w:pPr>
        <w:sectPr w:rsidR="003F65BE">
          <w:pgSz w:w="11900" w:h="16838"/>
          <w:pgMar w:top="699" w:right="1126" w:bottom="733"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12</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 xml:space="preserve">Com </w:t>
      </w:r>
      <w:r>
        <w:rPr>
          <w:rFonts w:eastAsia="Times New Roman"/>
          <w:sz w:val="24"/>
          <w:szCs w:val="24"/>
        </w:rPr>
        <w:t>base nessa circunstância, entende-se que o legislador percebia a violência presumida nos casos em que a vítima não tinha capacidade para consentir ou para resistir o ato sexual, ao passo que a violência real se diferencia pela necessidade da efetiva coação</w:t>
      </w:r>
      <w:r>
        <w:rPr>
          <w:rFonts w:eastAsia="Times New Roman"/>
          <w:sz w:val="24"/>
          <w:szCs w:val="24"/>
        </w:rPr>
        <w:t xml:space="preserve"> física ou moral no caso concreto (CAPEZ, 2011, p. 80).</w:t>
      </w:r>
    </w:p>
    <w:p w:rsidR="003F65BE" w:rsidRDefault="003F65BE">
      <w:pPr>
        <w:spacing w:line="19"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O crime de atentado violento ao pudor, antes do advento da Lei n° 12.015/2009, foi definido no artigo 214 do Código Penal, com o seguinte teor: “Constranger alguém, mediante violência ou ameaça, a pr</w:t>
      </w:r>
      <w:r>
        <w:rPr>
          <w:rFonts w:eastAsia="Times New Roman"/>
          <w:sz w:val="24"/>
          <w:szCs w:val="24"/>
        </w:rPr>
        <w:t>aticar ou permitir que com ele se pratique ato libidinoso diverso da conjunção carnal: Pena – reclusão, de seis a dez anos” Mirabete (2001, p. 417). Nota-se também que tratava de crime totalmente autônomo.</w:t>
      </w:r>
    </w:p>
    <w:p w:rsidR="003F65BE" w:rsidRDefault="003F65BE">
      <w:pPr>
        <w:spacing w:line="17"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Segundo Mirabete (2001, p. 412-413), no que diz r</w:t>
      </w:r>
      <w:r>
        <w:rPr>
          <w:rFonts w:eastAsia="Times New Roman"/>
          <w:sz w:val="24"/>
          <w:szCs w:val="24"/>
        </w:rPr>
        <w:t>espeito ao sujeito ativo, somente o homem praticava o estupro, que é a introdução do membro viril no órgão sexual da mulher, cuja expressão traduz a conjunção carnal. O sujeito passivo era sempre a mulher, ao passo que no crime de atentado violento ao pudo</w:t>
      </w:r>
      <w:r>
        <w:rPr>
          <w:rFonts w:eastAsia="Times New Roman"/>
          <w:sz w:val="24"/>
          <w:szCs w:val="24"/>
        </w:rPr>
        <w:t>r podia ser qualquer pessoa.</w:t>
      </w:r>
    </w:p>
    <w:p w:rsidR="003F65BE" w:rsidRDefault="003F65BE">
      <w:pPr>
        <w:spacing w:line="19"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Ainda na esteira da presunção de violência, segundo Mirabete (2001, p. 445), o artigo 224 do Código Penal, pretendia reforçar a proteção daquele com menor possibilidade de reação, já que é dever do Estado garantir a defesa par</w:t>
      </w:r>
      <w:r>
        <w:rPr>
          <w:rFonts w:eastAsia="Times New Roman"/>
          <w:sz w:val="24"/>
          <w:szCs w:val="24"/>
        </w:rPr>
        <w:t>ticular da ofendida. Assim, a norma denominada de Lei dos Crimes Hediondos, artigo 9° da Lei n° 8.072/90, estando a vítima nas hipóteses do referido artigo, nos casos de estupro e atentado violento ao pudor, as penas eram acrescidas de metade, no limite má</w:t>
      </w:r>
      <w:r>
        <w:rPr>
          <w:rFonts w:eastAsia="Times New Roman"/>
          <w:sz w:val="24"/>
          <w:szCs w:val="24"/>
        </w:rPr>
        <w:t xml:space="preserve">ximo de 30 anos, nos casos de violência real e não para os casos em que se presumia a violência. De outro lado, a jurisprudência orientava no sentido de que o artigo poderia ser aplicado caso houvesse a incidência do artigo 223, </w:t>
      </w:r>
      <w:r>
        <w:rPr>
          <w:rFonts w:eastAsia="Times New Roman"/>
          <w:i/>
          <w:iCs/>
          <w:sz w:val="24"/>
          <w:szCs w:val="24"/>
        </w:rPr>
        <w:t>caput,</w:t>
      </w:r>
      <w:r>
        <w:rPr>
          <w:rFonts w:eastAsia="Times New Roman"/>
          <w:sz w:val="24"/>
          <w:szCs w:val="24"/>
        </w:rPr>
        <w:t xml:space="preserve"> ou Parágrafo único, </w:t>
      </w:r>
      <w:r>
        <w:rPr>
          <w:rFonts w:eastAsia="Times New Roman"/>
          <w:sz w:val="24"/>
          <w:szCs w:val="24"/>
        </w:rPr>
        <w:t>quando resultar lesão grave ou morte, no crime de estupro e atentado violento ao pudor.</w:t>
      </w:r>
    </w:p>
    <w:p w:rsidR="003F65BE" w:rsidRDefault="003F65BE">
      <w:pPr>
        <w:spacing w:line="24" w:lineRule="exact"/>
        <w:rPr>
          <w:sz w:val="20"/>
          <w:szCs w:val="20"/>
        </w:rPr>
      </w:pPr>
    </w:p>
    <w:p w:rsidR="003F65BE" w:rsidRDefault="00CD6827">
      <w:pPr>
        <w:spacing w:line="356" w:lineRule="auto"/>
        <w:ind w:left="260" w:firstLine="1193"/>
        <w:jc w:val="both"/>
        <w:rPr>
          <w:sz w:val="20"/>
          <w:szCs w:val="20"/>
        </w:rPr>
      </w:pPr>
      <w:r>
        <w:rPr>
          <w:rFonts w:eastAsia="Times New Roman"/>
          <w:sz w:val="24"/>
          <w:szCs w:val="24"/>
        </w:rPr>
        <w:t xml:space="preserve">Na primeira hipótese de presunção de violência, prevista no artigo 224, alínea “a”, do Código Penal, nota-se que o elemento essencial para caracterização da violência </w:t>
      </w:r>
      <w:r>
        <w:rPr>
          <w:rFonts w:eastAsia="Times New Roman"/>
          <w:sz w:val="24"/>
          <w:szCs w:val="24"/>
        </w:rPr>
        <w:t>está na questão da menoridade da vítima, por ser menor de 14 anos não pode validar o seu ato sexual, conforme Mirabete (2001, p. 445) preleciona:</w:t>
      </w:r>
    </w:p>
    <w:p w:rsidR="003F65BE" w:rsidRDefault="003F65BE">
      <w:pPr>
        <w:spacing w:line="17" w:lineRule="exact"/>
        <w:rPr>
          <w:sz w:val="20"/>
          <w:szCs w:val="20"/>
        </w:rPr>
      </w:pPr>
    </w:p>
    <w:p w:rsidR="003F65BE" w:rsidRDefault="00CD6827">
      <w:pPr>
        <w:spacing w:line="238" w:lineRule="auto"/>
        <w:ind w:left="2540"/>
        <w:jc w:val="both"/>
        <w:rPr>
          <w:sz w:val="20"/>
          <w:szCs w:val="20"/>
        </w:rPr>
      </w:pPr>
      <w:r>
        <w:rPr>
          <w:rFonts w:eastAsia="Times New Roman"/>
          <w:sz w:val="20"/>
          <w:szCs w:val="20"/>
        </w:rPr>
        <w:t xml:space="preserve">O primeiro caso de violência presumida (indutiva ou ficta) é de ser a vítima menor de 14 anos. Embora seja </w:t>
      </w:r>
      <w:r>
        <w:rPr>
          <w:rFonts w:eastAsia="Times New Roman"/>
          <w:sz w:val="20"/>
          <w:szCs w:val="20"/>
        </w:rPr>
        <w:t>certo de que alguns menores, com essa idade, já tenham maturidade sexual, na verdade não ocorre o mesmo com o desenvolvimento psicológico. Assim, o fundamento do dispositivo é a circunstancia que o menor de 14 anos não pode validamente consentir pelo desen</w:t>
      </w:r>
      <w:r>
        <w:rPr>
          <w:rFonts w:eastAsia="Times New Roman"/>
          <w:sz w:val="20"/>
          <w:szCs w:val="20"/>
        </w:rPr>
        <w:t>volvimento dos atos sexuais e de suas consequências (</w:t>
      </w:r>
      <w:r>
        <w:rPr>
          <w:rFonts w:eastAsia="Times New Roman"/>
          <w:i/>
          <w:iCs/>
          <w:sz w:val="20"/>
          <w:szCs w:val="20"/>
        </w:rPr>
        <w:t>innocentia consilii</w:t>
      </w:r>
      <w:r>
        <w:rPr>
          <w:rFonts w:eastAsia="Times New Roman"/>
          <w:sz w:val="20"/>
          <w:szCs w:val="20"/>
        </w:rPr>
        <w:t>). O consentimento em casos que tais é absolutamente nulo (RT494/386).</w:t>
      </w:r>
    </w:p>
    <w:p w:rsidR="003F65BE" w:rsidRDefault="003F65BE">
      <w:pPr>
        <w:sectPr w:rsidR="003F65BE">
          <w:pgSz w:w="11900" w:h="16838"/>
          <w:pgMar w:top="699" w:right="1126" w:bottom="746" w:left="1440" w:header="0" w:footer="0" w:gutter="0"/>
          <w:cols w:space="720" w:equalWidth="0">
            <w:col w:w="9340"/>
          </w:cols>
        </w:sectPr>
      </w:pPr>
    </w:p>
    <w:p w:rsidR="003F65BE" w:rsidRDefault="003F65BE">
      <w:pPr>
        <w:spacing w:line="244" w:lineRule="exact"/>
        <w:rPr>
          <w:sz w:val="20"/>
          <w:szCs w:val="20"/>
        </w:rPr>
      </w:pPr>
    </w:p>
    <w:p w:rsidR="003F65BE" w:rsidRDefault="00CD6827">
      <w:pPr>
        <w:spacing w:line="350" w:lineRule="auto"/>
        <w:ind w:left="260" w:firstLine="1193"/>
        <w:rPr>
          <w:sz w:val="20"/>
          <w:szCs w:val="20"/>
        </w:rPr>
      </w:pPr>
      <w:r>
        <w:rPr>
          <w:rFonts w:eastAsia="Times New Roman"/>
          <w:sz w:val="24"/>
          <w:szCs w:val="24"/>
        </w:rPr>
        <w:t>Ainda na lição de Mirabete (2001, p. 447-448), a segunda hipótese, a presunção de violênci</w:t>
      </w:r>
      <w:r>
        <w:rPr>
          <w:rFonts w:eastAsia="Times New Roman"/>
          <w:sz w:val="24"/>
          <w:szCs w:val="24"/>
        </w:rPr>
        <w:t>a não está ligada à idade da vítima, mas ocorre no tipo penal descrito no artigo 224,</w:t>
      </w:r>
    </w:p>
    <w:p w:rsidR="003F65BE" w:rsidRDefault="003F65BE">
      <w:pPr>
        <w:sectPr w:rsidR="003F65BE">
          <w:type w:val="continuous"/>
          <w:pgSz w:w="11900" w:h="16838"/>
          <w:pgMar w:top="699" w:right="1126" w:bottom="746"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13</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54" w:lineRule="auto"/>
        <w:ind w:left="260" w:right="20"/>
        <w:jc w:val="both"/>
        <w:rPr>
          <w:sz w:val="20"/>
          <w:szCs w:val="20"/>
        </w:rPr>
      </w:pPr>
      <w:r>
        <w:rPr>
          <w:rFonts w:eastAsia="Times New Roman"/>
          <w:sz w:val="24"/>
          <w:szCs w:val="24"/>
        </w:rPr>
        <w:t>alínea “b”, quando a vítima “é alienada ou débil mental, e o agente conhecia esta circunstancia”. Essa condição de alienação ou debilidade m</w:t>
      </w:r>
      <w:r>
        <w:rPr>
          <w:rFonts w:eastAsia="Times New Roman"/>
          <w:sz w:val="24"/>
          <w:szCs w:val="24"/>
        </w:rPr>
        <w:t>ental da vítima era comprovada mediante prova técnica.</w:t>
      </w:r>
    </w:p>
    <w:p w:rsidR="003F65BE" w:rsidRDefault="003F65BE">
      <w:pPr>
        <w:spacing w:line="20"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A última hipótese de violência presumida se dava quando a vítima não podia, por qualquer causa, resistir o ato sexual, tipo penal definido no artigo 224, alínea “c”. Nessa espécie de violência, não co</w:t>
      </w:r>
      <w:r>
        <w:rPr>
          <w:rFonts w:eastAsia="Times New Roman"/>
          <w:sz w:val="24"/>
          <w:szCs w:val="24"/>
        </w:rPr>
        <w:t>nsiderava os casos de menoridade, alienação ou debilidade mental, a vítima tinha que estar impossibilitada de oferecer a resistência ao sujeito ativo. Também não importava quem tinha provocado a impossibilidade de resistência da vítima.</w:t>
      </w:r>
    </w:p>
    <w:p w:rsidR="003F65BE" w:rsidRDefault="003F65BE">
      <w:pPr>
        <w:spacing w:line="19"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O doutrinador Cape</w:t>
      </w:r>
      <w:r>
        <w:rPr>
          <w:rFonts w:eastAsia="Times New Roman"/>
          <w:sz w:val="24"/>
          <w:szCs w:val="24"/>
        </w:rPr>
        <w:t xml:space="preserve">z dizia, em seu livro (2011, p. 80), que o fato entendido como crime contra os costumes, preceituado no artigo 225, </w:t>
      </w:r>
      <w:r>
        <w:rPr>
          <w:rFonts w:eastAsia="Times New Roman"/>
          <w:i/>
          <w:iCs/>
          <w:sz w:val="24"/>
          <w:szCs w:val="24"/>
        </w:rPr>
        <w:t>Caput,</w:t>
      </w:r>
      <w:r>
        <w:rPr>
          <w:rFonts w:eastAsia="Times New Roman"/>
          <w:sz w:val="24"/>
          <w:szCs w:val="24"/>
        </w:rPr>
        <w:t xml:space="preserve"> se procedia mediante queixa, na razão de que o mal do processo traria maiores consequências para a vítima, desde que os delitos não r</w:t>
      </w:r>
      <w:r>
        <w:rPr>
          <w:rFonts w:eastAsia="Times New Roman"/>
          <w:sz w:val="24"/>
          <w:szCs w:val="24"/>
        </w:rPr>
        <w:t>esultassem de lesão grave ou morte. Logo, para os crimes sexuais de lesão de natureza leve, deveria ser instaurado mediante ação penal privada.</w:t>
      </w:r>
    </w:p>
    <w:p w:rsidR="003F65BE" w:rsidRDefault="003F65BE">
      <w:pPr>
        <w:spacing w:line="5" w:lineRule="exact"/>
        <w:rPr>
          <w:sz w:val="20"/>
          <w:szCs w:val="20"/>
        </w:rPr>
      </w:pPr>
    </w:p>
    <w:p w:rsidR="003F65BE" w:rsidRDefault="00CD6827">
      <w:pPr>
        <w:ind w:right="-19"/>
        <w:jc w:val="center"/>
        <w:rPr>
          <w:sz w:val="20"/>
          <w:szCs w:val="20"/>
        </w:rPr>
      </w:pPr>
      <w:r>
        <w:rPr>
          <w:rFonts w:eastAsia="Times New Roman"/>
          <w:sz w:val="24"/>
          <w:szCs w:val="24"/>
        </w:rPr>
        <w:t>A propósito, sobre a ação penal privada Mirabete (2001, p. 447) diz:</w:t>
      </w:r>
    </w:p>
    <w:p w:rsidR="003F65BE" w:rsidRDefault="003F65BE">
      <w:pPr>
        <w:spacing w:line="150" w:lineRule="exact"/>
        <w:rPr>
          <w:sz w:val="20"/>
          <w:szCs w:val="20"/>
        </w:rPr>
      </w:pPr>
    </w:p>
    <w:p w:rsidR="003F65BE" w:rsidRDefault="00CD6827">
      <w:pPr>
        <w:spacing w:line="237" w:lineRule="auto"/>
        <w:ind w:left="2540"/>
        <w:jc w:val="both"/>
        <w:rPr>
          <w:sz w:val="20"/>
          <w:szCs w:val="20"/>
        </w:rPr>
      </w:pPr>
      <w:r>
        <w:rPr>
          <w:rFonts w:eastAsia="Times New Roman"/>
          <w:sz w:val="20"/>
          <w:szCs w:val="20"/>
        </w:rPr>
        <w:t xml:space="preserve">Preceitua o art. 225, </w:t>
      </w:r>
      <w:r>
        <w:rPr>
          <w:rFonts w:eastAsia="Times New Roman"/>
          <w:i/>
          <w:iCs/>
          <w:sz w:val="20"/>
          <w:szCs w:val="20"/>
        </w:rPr>
        <w:t>Caput,</w:t>
      </w:r>
      <w:r>
        <w:rPr>
          <w:rFonts w:eastAsia="Times New Roman"/>
          <w:sz w:val="20"/>
          <w:szCs w:val="20"/>
        </w:rPr>
        <w:t xml:space="preserve"> que os crimes contra os costumes já examinados somente se procedem mediante queixa. As razões básicas do dispositivo são de que o mal do processo, pelo </w:t>
      </w:r>
      <w:r>
        <w:rPr>
          <w:rFonts w:eastAsia="Times New Roman"/>
          <w:i/>
          <w:iCs/>
          <w:sz w:val="20"/>
          <w:szCs w:val="20"/>
        </w:rPr>
        <w:t>strepitus judici,</w:t>
      </w:r>
      <w:r>
        <w:rPr>
          <w:rFonts w:eastAsia="Times New Roman"/>
          <w:sz w:val="20"/>
          <w:szCs w:val="20"/>
        </w:rPr>
        <w:t xml:space="preserve"> muitas vezes, traria piores consequências para a vítima e que, sem a colaboração dest</w:t>
      </w:r>
      <w:r>
        <w:rPr>
          <w:rFonts w:eastAsia="Times New Roman"/>
          <w:sz w:val="20"/>
          <w:szCs w:val="20"/>
        </w:rPr>
        <w:t>a, não seria possível colher-se prova para a condenação do agente.</w:t>
      </w:r>
    </w:p>
    <w:p w:rsidR="003F65BE" w:rsidRDefault="003F65BE">
      <w:pPr>
        <w:spacing w:line="232" w:lineRule="exact"/>
        <w:rPr>
          <w:sz w:val="20"/>
          <w:szCs w:val="20"/>
        </w:rPr>
      </w:pPr>
    </w:p>
    <w:p w:rsidR="003F65BE" w:rsidRDefault="00CD6827">
      <w:pPr>
        <w:ind w:left="1460"/>
        <w:rPr>
          <w:sz w:val="20"/>
          <w:szCs w:val="20"/>
        </w:rPr>
      </w:pPr>
      <w:r>
        <w:rPr>
          <w:rFonts w:eastAsia="Times New Roman"/>
          <w:sz w:val="24"/>
          <w:szCs w:val="24"/>
        </w:rPr>
        <w:t>Sobre a ação penal pública Mirabete (2001, p. 448) diz:</w:t>
      </w:r>
    </w:p>
    <w:p w:rsidR="003F65BE" w:rsidRDefault="003F65BE">
      <w:pPr>
        <w:spacing w:line="150" w:lineRule="exact"/>
        <w:rPr>
          <w:sz w:val="20"/>
          <w:szCs w:val="20"/>
        </w:rPr>
      </w:pPr>
    </w:p>
    <w:p w:rsidR="003F65BE" w:rsidRDefault="00CD6827">
      <w:pPr>
        <w:spacing w:line="237" w:lineRule="auto"/>
        <w:ind w:left="2540"/>
        <w:jc w:val="both"/>
        <w:rPr>
          <w:sz w:val="20"/>
          <w:szCs w:val="20"/>
        </w:rPr>
      </w:pPr>
      <w:r>
        <w:rPr>
          <w:rFonts w:eastAsia="Times New Roman"/>
          <w:sz w:val="20"/>
          <w:szCs w:val="20"/>
        </w:rPr>
        <w:t>Dispõe o art. 225, §1°, que se procede mediante ação pública, em qualquer dos delitos sexuais, em duas hipóteses: I – se a vítima o</w:t>
      </w:r>
      <w:r>
        <w:rPr>
          <w:rFonts w:eastAsia="Times New Roman"/>
          <w:sz w:val="20"/>
          <w:szCs w:val="20"/>
        </w:rPr>
        <w:t>u seus pais não podem prover as despesas do processo, sem se privarem de recursos indispensáveis à manutenção própria ou da família; e II – se o crime é cometido com abuso do pátrio poder, ou da qualidade de padrasto, tutor ou curador.</w:t>
      </w:r>
    </w:p>
    <w:p w:rsidR="003F65BE" w:rsidRDefault="003F65BE">
      <w:pPr>
        <w:spacing w:line="361"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Na primeira hipótes</w:t>
      </w:r>
      <w:r>
        <w:rPr>
          <w:rFonts w:eastAsia="Times New Roman"/>
          <w:sz w:val="24"/>
          <w:szCs w:val="24"/>
        </w:rPr>
        <w:t>e, confere-se que a ação penal pública se procedia nas situações de miserabilidade da vítima ou de seus parentes, na qual a vítima optava pela representação da queixa em juízo, e não podia custear as despesas do processo sem o prejuízo de seu sustento.</w:t>
      </w:r>
    </w:p>
    <w:p w:rsidR="003F65BE" w:rsidRDefault="003F65BE">
      <w:pPr>
        <w:spacing w:line="19"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Na</w:t>
      </w:r>
      <w:r>
        <w:rPr>
          <w:rFonts w:eastAsia="Times New Roman"/>
          <w:sz w:val="24"/>
          <w:szCs w:val="24"/>
        </w:rPr>
        <w:t xml:space="preserve"> segunda hipótese, verifica-se que a ação penal pública contemplava as vítimas do crime praticado por quem estava na qualidade de padrasto, tutor ou curador, que é quem deveria oferecer proteção. Nesses casos, a ação penal pública era incondicionada, e dis</w:t>
      </w:r>
      <w:r>
        <w:rPr>
          <w:rFonts w:eastAsia="Times New Roman"/>
          <w:sz w:val="24"/>
          <w:szCs w:val="24"/>
        </w:rPr>
        <w:t>pensava o atestado de pobreza.</w:t>
      </w:r>
    </w:p>
    <w:p w:rsidR="003F65BE" w:rsidRDefault="003F65BE">
      <w:pPr>
        <w:sectPr w:rsidR="003F65BE">
          <w:pgSz w:w="11900" w:h="16838"/>
          <w:pgMar w:top="699" w:right="1126" w:bottom="1440"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14</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1" w:lineRule="exact"/>
        <w:rPr>
          <w:sz w:val="20"/>
          <w:szCs w:val="20"/>
        </w:rPr>
      </w:pPr>
    </w:p>
    <w:p w:rsidR="003F65BE" w:rsidRDefault="00CD6827">
      <w:pPr>
        <w:ind w:left="260"/>
        <w:rPr>
          <w:sz w:val="20"/>
          <w:szCs w:val="20"/>
        </w:rPr>
      </w:pPr>
      <w:r>
        <w:rPr>
          <w:rFonts w:eastAsia="Times New Roman"/>
          <w:b/>
          <w:bCs/>
          <w:sz w:val="24"/>
          <w:szCs w:val="24"/>
        </w:rPr>
        <w:t>1.2 Estupro de menor de 14 anos após a Lei n° 12.015, de 7 de Agosto de 2009</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 xml:space="preserve">A referida lei foi sancionada pelo então Presidente da República Luiz Inácio Lula da Silva, tendo entrado em vigor </w:t>
      </w:r>
      <w:r>
        <w:rPr>
          <w:rFonts w:eastAsia="Times New Roman"/>
          <w:sz w:val="24"/>
          <w:szCs w:val="24"/>
        </w:rPr>
        <w:t>na data de sua publicação, ou seja, dia 7 de agosto de 2009, conforme se pode verificar no artigo 6°, “Esta Lei entra em vigor na data de sua publicação”.</w:t>
      </w:r>
    </w:p>
    <w:p w:rsidR="003F65BE" w:rsidRDefault="003F65BE">
      <w:pPr>
        <w:spacing w:line="10" w:lineRule="exact"/>
        <w:rPr>
          <w:sz w:val="20"/>
          <w:szCs w:val="20"/>
        </w:rPr>
      </w:pPr>
    </w:p>
    <w:p w:rsidR="003F65BE" w:rsidRDefault="00CD6827">
      <w:pPr>
        <w:ind w:left="1400"/>
        <w:rPr>
          <w:sz w:val="20"/>
          <w:szCs w:val="20"/>
        </w:rPr>
      </w:pPr>
      <w:r>
        <w:rPr>
          <w:rFonts w:eastAsia="Times New Roman"/>
          <w:sz w:val="24"/>
          <w:szCs w:val="24"/>
        </w:rPr>
        <w:t>Com o advento da Lei n.12.015/2009, diversas alterações foram feitas no Capítulo</w:t>
      </w:r>
    </w:p>
    <w:p w:rsidR="003F65BE" w:rsidRDefault="003F65BE">
      <w:pPr>
        <w:spacing w:line="149" w:lineRule="exact"/>
        <w:rPr>
          <w:sz w:val="20"/>
          <w:szCs w:val="20"/>
        </w:rPr>
      </w:pPr>
    </w:p>
    <w:p w:rsidR="003F65BE" w:rsidRDefault="00CD6827">
      <w:pPr>
        <w:numPr>
          <w:ilvl w:val="0"/>
          <w:numId w:val="4"/>
        </w:numPr>
        <w:tabs>
          <w:tab w:val="left" w:pos="512"/>
        </w:tabs>
        <w:spacing w:line="357" w:lineRule="auto"/>
        <w:ind w:left="260" w:firstLine="2"/>
        <w:jc w:val="both"/>
        <w:rPr>
          <w:rFonts w:eastAsia="Times New Roman"/>
          <w:sz w:val="24"/>
          <w:szCs w:val="24"/>
        </w:rPr>
      </w:pPr>
      <w:r>
        <w:rPr>
          <w:rFonts w:eastAsia="Times New Roman"/>
          <w:sz w:val="24"/>
          <w:szCs w:val="24"/>
        </w:rPr>
        <w:t>do Código Penal, o</w:t>
      </w:r>
      <w:r>
        <w:rPr>
          <w:rFonts w:eastAsia="Times New Roman"/>
          <w:sz w:val="24"/>
          <w:szCs w:val="24"/>
        </w:rPr>
        <w:t xml:space="preserve"> estupro praticado contra o menor de 14 anos ou sem capacidade de consentir passou a ter nomenclatura de “estupro de vulnerável”, deixando de integrar o artigo 213 do CP, vindo configurar um crime autônomo com previsão legal no artigo 217-A, na referida le</w:t>
      </w:r>
      <w:r>
        <w:rPr>
          <w:rFonts w:eastAsia="Times New Roman"/>
          <w:sz w:val="24"/>
          <w:szCs w:val="24"/>
        </w:rPr>
        <w:t>i (CAPEZ, 2011, p. 78-79).</w:t>
      </w:r>
    </w:p>
    <w:p w:rsidR="003F65BE" w:rsidRDefault="003F65BE">
      <w:pPr>
        <w:spacing w:line="2" w:lineRule="exact"/>
        <w:rPr>
          <w:sz w:val="20"/>
          <w:szCs w:val="20"/>
        </w:rPr>
      </w:pPr>
    </w:p>
    <w:p w:rsidR="003F65BE" w:rsidRDefault="00CD6827">
      <w:pPr>
        <w:ind w:left="1400"/>
        <w:rPr>
          <w:sz w:val="20"/>
          <w:szCs w:val="20"/>
        </w:rPr>
      </w:pPr>
      <w:r>
        <w:rPr>
          <w:rFonts w:eastAsia="Times New Roman"/>
          <w:sz w:val="24"/>
          <w:szCs w:val="24"/>
        </w:rPr>
        <w:t>Artigo 217-A, seu teor é o seguinte:</w:t>
      </w:r>
    </w:p>
    <w:p w:rsidR="003F65BE" w:rsidRDefault="003F65BE">
      <w:pPr>
        <w:spacing w:line="139" w:lineRule="exact"/>
        <w:rPr>
          <w:sz w:val="20"/>
          <w:szCs w:val="20"/>
        </w:rPr>
      </w:pPr>
    </w:p>
    <w:p w:rsidR="003F65BE" w:rsidRDefault="00CD6827">
      <w:pPr>
        <w:ind w:left="2540"/>
        <w:rPr>
          <w:sz w:val="20"/>
          <w:szCs w:val="20"/>
        </w:rPr>
      </w:pPr>
      <w:r>
        <w:rPr>
          <w:rFonts w:eastAsia="Times New Roman"/>
          <w:sz w:val="20"/>
          <w:szCs w:val="20"/>
        </w:rPr>
        <w:t>Art. 217-A.  Ter conjunção carnal ou praticar outro ato libidinoso com menor de 14</w:t>
      </w:r>
    </w:p>
    <w:p w:rsidR="003F65BE" w:rsidRDefault="00CD6827">
      <w:pPr>
        <w:spacing w:line="237" w:lineRule="auto"/>
        <w:ind w:left="2540"/>
        <w:rPr>
          <w:sz w:val="20"/>
          <w:szCs w:val="20"/>
        </w:rPr>
      </w:pPr>
      <w:r>
        <w:rPr>
          <w:rFonts w:eastAsia="Times New Roman"/>
          <w:sz w:val="20"/>
          <w:szCs w:val="20"/>
        </w:rPr>
        <w:t>(catorze) anos:</w:t>
      </w:r>
    </w:p>
    <w:p w:rsidR="003F65BE" w:rsidRDefault="003F65BE">
      <w:pPr>
        <w:spacing w:line="1" w:lineRule="exact"/>
        <w:rPr>
          <w:sz w:val="20"/>
          <w:szCs w:val="20"/>
        </w:rPr>
      </w:pPr>
    </w:p>
    <w:p w:rsidR="003F65BE" w:rsidRDefault="00CD6827">
      <w:pPr>
        <w:ind w:left="2540"/>
        <w:rPr>
          <w:sz w:val="20"/>
          <w:szCs w:val="20"/>
        </w:rPr>
      </w:pPr>
      <w:r>
        <w:rPr>
          <w:rFonts w:eastAsia="Times New Roman"/>
          <w:sz w:val="20"/>
          <w:szCs w:val="20"/>
        </w:rPr>
        <w:t>Pena - reclusão, de 8 (oito) a 15 (quinze) anos.</w:t>
      </w:r>
    </w:p>
    <w:p w:rsidR="003F65BE" w:rsidRDefault="003F65BE">
      <w:pPr>
        <w:spacing w:line="5" w:lineRule="exact"/>
        <w:rPr>
          <w:sz w:val="20"/>
          <w:szCs w:val="20"/>
        </w:rPr>
      </w:pPr>
    </w:p>
    <w:p w:rsidR="003F65BE" w:rsidRDefault="00CD6827">
      <w:pPr>
        <w:numPr>
          <w:ilvl w:val="0"/>
          <w:numId w:val="5"/>
        </w:numPr>
        <w:tabs>
          <w:tab w:val="left" w:pos="2705"/>
        </w:tabs>
        <w:spacing w:line="225" w:lineRule="auto"/>
        <w:ind w:left="2540" w:hanging="9"/>
        <w:jc w:val="both"/>
        <w:rPr>
          <w:rFonts w:eastAsia="Times New Roman"/>
          <w:sz w:val="20"/>
          <w:szCs w:val="20"/>
        </w:rPr>
      </w:pPr>
      <w:r>
        <w:rPr>
          <w:rFonts w:eastAsia="Times New Roman"/>
          <w:sz w:val="20"/>
          <w:szCs w:val="20"/>
        </w:rPr>
        <w:t>1</w:t>
      </w:r>
      <w:r>
        <w:rPr>
          <w:rFonts w:eastAsia="Times New Roman"/>
          <w:sz w:val="25"/>
          <w:szCs w:val="25"/>
          <w:u w:val="single"/>
          <w:vertAlign w:val="superscript"/>
        </w:rPr>
        <w:t>o</w:t>
      </w:r>
      <w:r>
        <w:rPr>
          <w:rFonts w:eastAsia="Times New Roman"/>
          <w:sz w:val="20"/>
          <w:szCs w:val="20"/>
        </w:rPr>
        <w:t xml:space="preserve"> Incorre na mesma pena quem pratica as</w:t>
      </w:r>
      <w:r>
        <w:rPr>
          <w:rFonts w:eastAsia="Times New Roman"/>
          <w:sz w:val="20"/>
          <w:szCs w:val="20"/>
        </w:rPr>
        <w:t xml:space="preserve"> ações descritas no caput com alguém que, por enfermidade ou deficiência mental, não tem o necessário discernimento para a prática do ato, ou que, por qualquer outra causa, não pode oferecer resistência.</w:t>
      </w:r>
    </w:p>
    <w:p w:rsidR="003F65BE" w:rsidRDefault="00CD6827">
      <w:pPr>
        <w:numPr>
          <w:ilvl w:val="0"/>
          <w:numId w:val="5"/>
        </w:numPr>
        <w:tabs>
          <w:tab w:val="left" w:pos="2680"/>
        </w:tabs>
        <w:spacing w:line="206" w:lineRule="auto"/>
        <w:ind w:left="2680" w:hanging="149"/>
        <w:rPr>
          <w:rFonts w:eastAsia="Times New Roman"/>
          <w:sz w:val="20"/>
          <w:szCs w:val="20"/>
        </w:rPr>
      </w:pPr>
      <w:r>
        <w:rPr>
          <w:rFonts w:eastAsia="Times New Roman"/>
          <w:sz w:val="20"/>
          <w:szCs w:val="20"/>
        </w:rPr>
        <w:t>2</w:t>
      </w:r>
      <w:r>
        <w:rPr>
          <w:rFonts w:eastAsia="Times New Roman"/>
          <w:sz w:val="25"/>
          <w:szCs w:val="25"/>
          <w:u w:val="single"/>
          <w:vertAlign w:val="superscript"/>
        </w:rPr>
        <w:t>o</w:t>
      </w:r>
      <w:r>
        <w:rPr>
          <w:rFonts w:eastAsia="Times New Roman"/>
          <w:sz w:val="20"/>
          <w:szCs w:val="20"/>
        </w:rPr>
        <w:t xml:space="preserve">  </w:t>
      </w:r>
      <w:r>
        <w:rPr>
          <w:rFonts w:eastAsia="Times New Roman"/>
          <w:sz w:val="20"/>
          <w:szCs w:val="20"/>
          <w:u w:val="single"/>
        </w:rPr>
        <w:t>(VETADO)</w:t>
      </w:r>
    </w:p>
    <w:p w:rsidR="003F65BE" w:rsidRDefault="00CD6827">
      <w:pPr>
        <w:numPr>
          <w:ilvl w:val="0"/>
          <w:numId w:val="5"/>
        </w:numPr>
        <w:tabs>
          <w:tab w:val="left" w:pos="2680"/>
        </w:tabs>
        <w:spacing w:line="192" w:lineRule="auto"/>
        <w:ind w:left="2680" w:hanging="149"/>
        <w:rPr>
          <w:rFonts w:eastAsia="Times New Roman"/>
          <w:sz w:val="20"/>
          <w:szCs w:val="20"/>
        </w:rPr>
      </w:pPr>
      <w:r>
        <w:rPr>
          <w:rFonts w:eastAsia="Times New Roman"/>
          <w:sz w:val="20"/>
          <w:szCs w:val="20"/>
        </w:rPr>
        <w:t>3</w:t>
      </w:r>
      <w:r>
        <w:rPr>
          <w:rFonts w:eastAsia="Times New Roman"/>
          <w:sz w:val="25"/>
          <w:szCs w:val="25"/>
          <w:u w:val="single"/>
          <w:vertAlign w:val="superscript"/>
        </w:rPr>
        <w:t>o</w:t>
      </w:r>
      <w:r>
        <w:rPr>
          <w:rFonts w:eastAsia="Times New Roman"/>
          <w:sz w:val="20"/>
          <w:szCs w:val="20"/>
        </w:rPr>
        <w:t xml:space="preserve">  Se da conduta resulta lesão corporal de natureza grave:</w:t>
      </w:r>
    </w:p>
    <w:p w:rsidR="003F65BE" w:rsidRDefault="00CD6827">
      <w:pPr>
        <w:spacing w:line="221" w:lineRule="auto"/>
        <w:ind w:left="2540"/>
        <w:rPr>
          <w:sz w:val="20"/>
          <w:szCs w:val="20"/>
        </w:rPr>
      </w:pPr>
      <w:r>
        <w:rPr>
          <w:rFonts w:eastAsia="Times New Roman"/>
          <w:sz w:val="20"/>
          <w:szCs w:val="20"/>
        </w:rPr>
        <w:t>Pena - reclusão, de 10 (dez) a 20 (vinte) anos.</w:t>
      </w:r>
    </w:p>
    <w:p w:rsidR="003F65BE" w:rsidRDefault="00CD6827">
      <w:pPr>
        <w:spacing w:line="208" w:lineRule="auto"/>
        <w:ind w:left="2540"/>
        <w:rPr>
          <w:sz w:val="20"/>
          <w:szCs w:val="20"/>
        </w:rPr>
      </w:pPr>
      <w:r>
        <w:rPr>
          <w:rFonts w:eastAsia="Times New Roman"/>
          <w:sz w:val="20"/>
          <w:szCs w:val="20"/>
        </w:rPr>
        <w:t>§ 4</w:t>
      </w:r>
      <w:r>
        <w:rPr>
          <w:rFonts w:eastAsia="Times New Roman"/>
          <w:sz w:val="25"/>
          <w:szCs w:val="25"/>
          <w:u w:val="single"/>
          <w:vertAlign w:val="superscript"/>
        </w:rPr>
        <w:t>o</w:t>
      </w:r>
      <w:r>
        <w:rPr>
          <w:rFonts w:eastAsia="Times New Roman"/>
          <w:sz w:val="20"/>
          <w:szCs w:val="20"/>
        </w:rPr>
        <w:t xml:space="preserve">  Se da conduta resulta morte:</w:t>
      </w:r>
    </w:p>
    <w:p w:rsidR="003F65BE" w:rsidRDefault="00CD6827">
      <w:pPr>
        <w:spacing w:line="221" w:lineRule="auto"/>
        <w:ind w:left="2540"/>
        <w:rPr>
          <w:sz w:val="20"/>
          <w:szCs w:val="20"/>
        </w:rPr>
      </w:pPr>
      <w:r>
        <w:rPr>
          <w:rFonts w:eastAsia="Times New Roman"/>
          <w:sz w:val="20"/>
          <w:szCs w:val="20"/>
        </w:rPr>
        <w:t>Pena - reclusão, de 12 (doze) a 30 (trinta) anos.</w:t>
      </w:r>
    </w:p>
    <w:p w:rsidR="003F65BE" w:rsidRDefault="003F65BE">
      <w:pPr>
        <w:spacing w:line="241" w:lineRule="exact"/>
        <w:rPr>
          <w:sz w:val="20"/>
          <w:szCs w:val="20"/>
        </w:rPr>
      </w:pPr>
    </w:p>
    <w:p w:rsidR="003F65BE" w:rsidRDefault="00CD6827">
      <w:pPr>
        <w:spacing w:line="358" w:lineRule="auto"/>
        <w:ind w:left="260" w:firstLine="1193"/>
        <w:jc w:val="both"/>
        <w:rPr>
          <w:sz w:val="20"/>
          <w:szCs w:val="20"/>
        </w:rPr>
      </w:pPr>
      <w:r>
        <w:rPr>
          <w:rFonts w:eastAsia="Times New Roman"/>
          <w:sz w:val="24"/>
          <w:szCs w:val="24"/>
        </w:rPr>
        <w:t>Dessa forma, as condutas acima aludidas vieram a integrar o tipo</w:t>
      </w:r>
      <w:r>
        <w:rPr>
          <w:rFonts w:eastAsia="Times New Roman"/>
          <w:sz w:val="24"/>
          <w:szCs w:val="24"/>
        </w:rPr>
        <w:t xml:space="preserve"> penal do artigo 217-A, com sanções próprias, diferentes das penas impostas ao crime sexual praticado com violência real. Antes da Lei n° 12.015/2009, o julgador necessitava lançar mão da presunção de violência contida no artigo 224 do Código Penal, para c</w:t>
      </w:r>
      <w:r>
        <w:rPr>
          <w:rFonts w:eastAsia="Times New Roman"/>
          <w:sz w:val="24"/>
          <w:szCs w:val="24"/>
        </w:rPr>
        <w:t>onseguir enquadrar a conduta do agente nas sanções do artigo 213 ou revogado artigo 214 do Código Penal, o qual tratava do crime de atentado violento ao pudor. Atualmente, a conduta típica do estupro de vulnerável é tratada diretamente com o artigo 217-A d</w:t>
      </w:r>
      <w:r>
        <w:rPr>
          <w:rFonts w:eastAsia="Times New Roman"/>
          <w:sz w:val="24"/>
          <w:szCs w:val="24"/>
        </w:rPr>
        <w:t>o Código Penal (CAPEZ, 2014, p.81). Segundo entendimento de Greco (2014, p.540) “agora, não poderão os Tribunais entender de outra forma quando a vítima do ato sexual for alguém menor de 14 (quatorze) anos”.</w:t>
      </w:r>
    </w:p>
    <w:p w:rsidR="003F65BE" w:rsidRDefault="003F65BE">
      <w:pPr>
        <w:spacing w:line="23"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Greco (2014, p. 541), referindo-se ao artigo 21</w:t>
      </w:r>
      <w:r>
        <w:rPr>
          <w:rFonts w:eastAsia="Times New Roman"/>
          <w:sz w:val="24"/>
          <w:szCs w:val="24"/>
        </w:rPr>
        <w:t>7-A, destaca que “este artigo busca identificar a situação de vulnerabilidade em que se encontra a vítima”. Segundo o autor, este artigo contém os seguintes elementos: a) a conduta de ter conjunção carnal; b) ou praticar qualquer outro ato libidinoso; c) c</w:t>
      </w:r>
      <w:r>
        <w:rPr>
          <w:rFonts w:eastAsia="Times New Roman"/>
          <w:sz w:val="24"/>
          <w:szCs w:val="24"/>
        </w:rPr>
        <w:t>om pessoa menor de 14 (quatorze) anos.</w:t>
      </w:r>
    </w:p>
    <w:p w:rsidR="003F65BE" w:rsidRDefault="003F65BE">
      <w:pPr>
        <w:spacing w:line="6" w:lineRule="exact"/>
        <w:rPr>
          <w:sz w:val="20"/>
          <w:szCs w:val="20"/>
        </w:rPr>
      </w:pPr>
    </w:p>
    <w:p w:rsidR="003F65BE" w:rsidRDefault="00CD6827">
      <w:pPr>
        <w:ind w:left="1400"/>
        <w:rPr>
          <w:sz w:val="20"/>
          <w:szCs w:val="20"/>
        </w:rPr>
      </w:pPr>
      <w:r>
        <w:rPr>
          <w:rFonts w:eastAsia="Times New Roman"/>
          <w:sz w:val="24"/>
          <w:szCs w:val="24"/>
        </w:rPr>
        <w:t>O autor faz uma referência à pedofilia no seguinte fragmento:</w:t>
      </w:r>
    </w:p>
    <w:p w:rsidR="003F65BE" w:rsidRDefault="003F65BE">
      <w:pPr>
        <w:sectPr w:rsidR="003F65BE">
          <w:pgSz w:w="11900" w:h="16838"/>
          <w:pgMar w:top="699" w:right="1126" w:bottom="963" w:left="1440" w:header="0" w:footer="0" w:gutter="0"/>
          <w:cols w:space="720" w:equalWidth="0">
            <w:col w:w="9340"/>
          </w:cols>
        </w:sectPr>
      </w:pPr>
    </w:p>
    <w:p w:rsidR="003F65BE" w:rsidRDefault="00CD6827">
      <w:pPr>
        <w:ind w:left="9120"/>
        <w:rPr>
          <w:sz w:val="20"/>
          <w:szCs w:val="20"/>
        </w:rPr>
      </w:pPr>
      <w:r>
        <w:rPr>
          <w:rFonts w:ascii="Calibri" w:eastAsia="Calibri" w:hAnsi="Calibri" w:cs="Calibri"/>
          <w:sz w:val="21"/>
          <w:szCs w:val="21"/>
        </w:rPr>
        <w:lastRenderedPageBreak/>
        <w:t>15</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6" w:lineRule="exact"/>
        <w:rPr>
          <w:sz w:val="20"/>
          <w:szCs w:val="20"/>
        </w:rPr>
      </w:pPr>
    </w:p>
    <w:p w:rsidR="003F65BE" w:rsidRDefault="00CD6827">
      <w:pPr>
        <w:spacing w:line="238" w:lineRule="auto"/>
        <w:ind w:left="2540"/>
        <w:jc w:val="both"/>
        <w:rPr>
          <w:sz w:val="20"/>
          <w:szCs w:val="20"/>
        </w:rPr>
      </w:pPr>
      <w:r>
        <w:rPr>
          <w:rFonts w:eastAsia="Times New Roman"/>
          <w:sz w:val="20"/>
          <w:szCs w:val="20"/>
        </w:rPr>
        <w:t xml:space="preserve">O mundo globalizado vive e presencia a atuação de pedófilos, que se valem de inúmeros e vis artifícios, a fim de praticarem algum ato sexual com crianças e adolescentes, não escapando de suas taras doentias até mesmo os recém-nascidos. A </w:t>
      </w:r>
      <w:r>
        <w:rPr>
          <w:rFonts w:eastAsia="Times New Roman"/>
          <w:i/>
          <w:iCs/>
          <w:sz w:val="20"/>
          <w:szCs w:val="20"/>
        </w:rPr>
        <w:t xml:space="preserve">internet </w:t>
      </w:r>
      <w:r>
        <w:rPr>
          <w:rFonts w:eastAsia="Times New Roman"/>
          <w:sz w:val="20"/>
          <w:szCs w:val="20"/>
        </w:rPr>
        <w:t xml:space="preserve">tem sido </w:t>
      </w:r>
      <w:r>
        <w:rPr>
          <w:rFonts w:eastAsia="Times New Roman"/>
          <w:sz w:val="20"/>
          <w:szCs w:val="20"/>
        </w:rPr>
        <w:t>utilizada como um meio para atrair essas vítimas para as garras</w:t>
      </w:r>
      <w:r>
        <w:rPr>
          <w:rFonts w:eastAsia="Times New Roman"/>
          <w:i/>
          <w:iCs/>
          <w:sz w:val="20"/>
          <w:szCs w:val="20"/>
        </w:rPr>
        <w:t xml:space="preserve"> </w:t>
      </w:r>
      <w:r>
        <w:rPr>
          <w:rFonts w:eastAsia="Times New Roman"/>
          <w:sz w:val="20"/>
          <w:szCs w:val="20"/>
        </w:rPr>
        <w:t>desses verdadeiros psicopatas sexuais. Vidas são destruídas em troca de pequenos momentos de um prazer estúpido e imbecil (GRECO, 2014, p. 542).</w:t>
      </w:r>
    </w:p>
    <w:p w:rsidR="003F65BE" w:rsidRDefault="003F65BE">
      <w:pPr>
        <w:spacing w:line="13"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 xml:space="preserve">As condutas previstas no tipo penal do artigo </w:t>
      </w:r>
      <w:r>
        <w:rPr>
          <w:rFonts w:eastAsia="Times New Roman"/>
          <w:sz w:val="24"/>
          <w:szCs w:val="24"/>
        </w:rPr>
        <w:t>217-A são as mesmas daquelas constantes do artigo 213 do Código penal, sendo que a diferença existente entre eles reside no fato de que no delito de estupro de vulnerável a vítima, obrigatoriamente, deverá ser menor de 14 (quatorze) anos de idade (GRECO, 2</w:t>
      </w:r>
      <w:r>
        <w:rPr>
          <w:rFonts w:eastAsia="Times New Roman"/>
          <w:sz w:val="24"/>
          <w:szCs w:val="24"/>
        </w:rPr>
        <w:t>014, p. 542).</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0" w:lineRule="exact"/>
        <w:rPr>
          <w:sz w:val="20"/>
          <w:szCs w:val="20"/>
        </w:rPr>
      </w:pPr>
    </w:p>
    <w:p w:rsidR="003F65BE" w:rsidRDefault="00CD6827">
      <w:pPr>
        <w:ind w:left="260"/>
        <w:rPr>
          <w:sz w:val="20"/>
          <w:szCs w:val="20"/>
        </w:rPr>
      </w:pPr>
      <w:r>
        <w:rPr>
          <w:rFonts w:eastAsia="Times New Roman"/>
          <w:b/>
          <w:bCs/>
          <w:sz w:val="24"/>
          <w:szCs w:val="24"/>
        </w:rPr>
        <w:t>1.2.1 Finalidade da Lei n° 12.015, de 7 de Agosto de 2009</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 xml:space="preserve">A Lei nº 12.015 de 7 agosto de 2009, trouxe significativas alterações para o Título VI do Código Penal, como já observado, passou a tutelar os Crimes contra a Dignidade Sexual </w:t>
      </w:r>
      <w:r>
        <w:rPr>
          <w:rFonts w:eastAsia="Times New Roman"/>
          <w:sz w:val="24"/>
          <w:szCs w:val="24"/>
        </w:rPr>
        <w:t>e não mais, Dos Crimes contra os Costumes. Diante do panorama histórico social em que se encontra, obviamente após tantas lutas e conquistas sociais, culturais, raciais e sexuais, por igualdade entre homens e mulheres não caberia disposições legais que pri</w:t>
      </w:r>
      <w:r>
        <w:rPr>
          <w:rFonts w:eastAsia="Times New Roman"/>
          <w:sz w:val="24"/>
          <w:szCs w:val="24"/>
        </w:rPr>
        <w:t>vilegiassem uns e prejudicassem outros, principalmente diante de uma Carta Magna que preconiza a não discriminação sexual. (CAPEZ, 2010, p. 27),</w:t>
      </w:r>
    </w:p>
    <w:p w:rsidR="003F65BE" w:rsidRDefault="003F65BE">
      <w:pPr>
        <w:spacing w:line="3" w:lineRule="exact"/>
        <w:rPr>
          <w:sz w:val="20"/>
          <w:szCs w:val="20"/>
        </w:rPr>
      </w:pPr>
    </w:p>
    <w:p w:rsidR="003F65BE" w:rsidRDefault="00CD6827">
      <w:pPr>
        <w:ind w:left="1400"/>
        <w:rPr>
          <w:sz w:val="20"/>
          <w:szCs w:val="20"/>
        </w:rPr>
      </w:pPr>
      <w:r>
        <w:rPr>
          <w:rFonts w:eastAsia="Times New Roman"/>
          <w:sz w:val="24"/>
          <w:szCs w:val="24"/>
        </w:rPr>
        <w:t xml:space="preserve">A Constituição Federal em seu art. 5º, </w:t>
      </w:r>
      <w:r>
        <w:rPr>
          <w:rFonts w:eastAsia="Times New Roman"/>
          <w:i/>
          <w:iCs/>
          <w:sz w:val="24"/>
          <w:szCs w:val="24"/>
        </w:rPr>
        <w:t>caput</w:t>
      </w:r>
      <w:r>
        <w:rPr>
          <w:rFonts w:eastAsia="Times New Roman"/>
          <w:sz w:val="24"/>
          <w:szCs w:val="24"/>
        </w:rPr>
        <w:t xml:space="preserve"> e inciso I :</w:t>
      </w:r>
    </w:p>
    <w:p w:rsidR="003F65BE" w:rsidRDefault="003F65BE">
      <w:pPr>
        <w:spacing w:line="150" w:lineRule="exact"/>
        <w:rPr>
          <w:sz w:val="20"/>
          <w:szCs w:val="20"/>
        </w:rPr>
      </w:pPr>
    </w:p>
    <w:p w:rsidR="003F65BE" w:rsidRDefault="00CD6827">
      <w:pPr>
        <w:spacing w:line="237" w:lineRule="auto"/>
        <w:ind w:left="2540" w:right="20"/>
        <w:jc w:val="both"/>
        <w:rPr>
          <w:sz w:val="20"/>
          <w:szCs w:val="20"/>
        </w:rPr>
      </w:pPr>
      <w:r>
        <w:rPr>
          <w:rFonts w:eastAsia="Times New Roman"/>
          <w:sz w:val="20"/>
          <w:szCs w:val="20"/>
        </w:rPr>
        <w:t xml:space="preserve">Art. 5º Todos são iguais perante a lei, sem </w:t>
      </w:r>
      <w:r>
        <w:rPr>
          <w:rFonts w:eastAsia="Times New Roman"/>
          <w:sz w:val="20"/>
          <w:szCs w:val="20"/>
        </w:rPr>
        <w:t>distinção de qualquer natureza, garantindo-se aos brasileiros e aos estrangeiros residentes no País a inviolabilidade do direito à vida, à liberdade, à igualdade, à segurança e à propriedade, nos termos seguintes: I - homens e mulheres são iguais em direit</w:t>
      </w:r>
      <w:r>
        <w:rPr>
          <w:rFonts w:eastAsia="Times New Roman"/>
          <w:sz w:val="20"/>
          <w:szCs w:val="20"/>
        </w:rPr>
        <w:t>os e obrigações, nos termos desta Constituição.</w:t>
      </w:r>
    </w:p>
    <w:p w:rsidR="003F65BE" w:rsidRDefault="003F65BE">
      <w:pPr>
        <w:spacing w:line="246"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Assim, verifica-se no artigo 217-A, do Código penal, que a finalidade da Lei nº 12.015/2009 tem por objeto jurídico a tutela da dignidade sexual da pessoa menor de 14 anos ou daquela que por enfermidade ou d</w:t>
      </w:r>
      <w:r>
        <w:rPr>
          <w:rFonts w:eastAsia="Times New Roman"/>
          <w:sz w:val="24"/>
          <w:szCs w:val="24"/>
        </w:rPr>
        <w:t>eficiência mental, não tem condições para consentir o ato sexual, ou por outra causa, não pode resistir.</w:t>
      </w:r>
    </w:p>
    <w:p w:rsidR="003F65BE" w:rsidRDefault="003F65BE">
      <w:pPr>
        <w:spacing w:line="19"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 xml:space="preserve">Segundo o entendimento de Capez (2011, p. 81), as modificações advindas, a Lei n° 12.015/2009, passou a tratar dos delitos contra a dignidade sexual, </w:t>
      </w:r>
      <w:r>
        <w:rPr>
          <w:rFonts w:eastAsia="Times New Roman"/>
          <w:sz w:val="24"/>
          <w:szCs w:val="24"/>
        </w:rPr>
        <w:t>substituindo a expressão “Dos crimes contra os costumes”. Com isto, tem-se que o objetivo é tão somente proteger à liberdade sexual do indivíduo, juridicamente falando, vem primar pela tutela dos direitos fundamentais do indivíduo e não pela moralidade sex</w:t>
      </w:r>
      <w:r>
        <w:rPr>
          <w:rFonts w:eastAsia="Times New Roman"/>
          <w:sz w:val="24"/>
          <w:szCs w:val="24"/>
        </w:rPr>
        <w:t>ual e seus reflexos na organização da família.</w:t>
      </w:r>
    </w:p>
    <w:p w:rsidR="003F65BE" w:rsidRDefault="003F65BE">
      <w:pPr>
        <w:sectPr w:rsidR="003F65BE">
          <w:pgSz w:w="11900" w:h="16838"/>
          <w:pgMar w:top="712" w:right="1126" w:bottom="650"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16</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1" w:lineRule="exact"/>
        <w:rPr>
          <w:sz w:val="20"/>
          <w:szCs w:val="20"/>
        </w:rPr>
      </w:pPr>
    </w:p>
    <w:p w:rsidR="003F65BE" w:rsidRDefault="00CD6827">
      <w:pPr>
        <w:ind w:left="260"/>
        <w:rPr>
          <w:sz w:val="20"/>
          <w:szCs w:val="20"/>
        </w:rPr>
      </w:pPr>
      <w:r>
        <w:rPr>
          <w:rFonts w:eastAsia="Times New Roman"/>
          <w:b/>
          <w:bCs/>
          <w:sz w:val="24"/>
          <w:szCs w:val="24"/>
        </w:rPr>
        <w:t>1.2.2 Classificação do Crime</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A classificação do crime consiste em apontar peculiaridades essenciais do delito e de seus agentes e do bem juridicamente protegido pela norma. As c</w:t>
      </w:r>
      <w:r>
        <w:rPr>
          <w:rFonts w:eastAsia="Times New Roman"/>
          <w:sz w:val="24"/>
          <w:szCs w:val="24"/>
        </w:rPr>
        <w:t>aracterísticas são importantes para o tema na medida em que se identificam na conduta do agente os elementos descritos no tipo penal.</w:t>
      </w:r>
    </w:p>
    <w:p w:rsidR="003F65BE" w:rsidRDefault="003F65BE">
      <w:pPr>
        <w:spacing w:line="19"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O sujeito ativo do crime de estupro de vulnerável pode ser tanto o homem quanto a mulher, basta que o agente cometa a con</w:t>
      </w:r>
      <w:r>
        <w:rPr>
          <w:rFonts w:eastAsia="Times New Roman"/>
          <w:sz w:val="24"/>
          <w:szCs w:val="24"/>
        </w:rPr>
        <w:t>junção carnal ou ato libidinoso. O doutrinador Greco (2011, p. 535) ressalva que ao se tratar especificamente de conjunção carnal, “a relação deverá, obrigatoriamente, ser heterossexual”.</w:t>
      </w:r>
    </w:p>
    <w:p w:rsidR="003F65BE" w:rsidRDefault="003F65BE">
      <w:pPr>
        <w:spacing w:line="15"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O sujeito passivo é aquele estabelecido na lei, o menor de 14 anos,</w:t>
      </w:r>
      <w:r>
        <w:rPr>
          <w:rFonts w:eastAsia="Times New Roman"/>
          <w:sz w:val="24"/>
          <w:szCs w:val="24"/>
        </w:rPr>
        <w:t xml:space="preserve"> o portador de deficiência mental, ou que, por outra causa, esteja impedido de oferecer resistência contra o ato sexual. Entre estas três modalidades de vulnerabilidade, devemos destacar a elementar menor de 14 (catorze) anos, indivíduo que não pode consen</w:t>
      </w:r>
      <w:r>
        <w:rPr>
          <w:rFonts w:eastAsia="Times New Roman"/>
          <w:sz w:val="24"/>
          <w:szCs w:val="24"/>
        </w:rPr>
        <w:t>tir seus atos sexuais, pela imaturidade baseada no simplesmente pelo fato de ser menor de idade, assim observando o artigo 217-A, caput, do CP.</w:t>
      </w:r>
    </w:p>
    <w:p w:rsidR="003F65BE" w:rsidRDefault="003F65BE">
      <w:pPr>
        <w:spacing w:line="14"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 xml:space="preserve">Segundo explicação de Capez (2011, p.81-82), a conjunção carnal é a introdução do pênis na cavidade vaginal da </w:t>
      </w:r>
      <w:r>
        <w:rPr>
          <w:rFonts w:eastAsia="Times New Roman"/>
          <w:sz w:val="24"/>
          <w:szCs w:val="24"/>
        </w:rPr>
        <w:t>mulher. O Ato libidinoso está compreendido em outro conceito, que não a conjunção carnal, está em outras formas de realização do ato sexual, aqueles atos sexuais considerados anormais como a cúpula oral e anal. Antes da nova Lei 12.015/2009, estes atos sex</w:t>
      </w:r>
      <w:r>
        <w:rPr>
          <w:rFonts w:eastAsia="Times New Roman"/>
          <w:sz w:val="24"/>
          <w:szCs w:val="24"/>
        </w:rPr>
        <w:t>uais constituíam no Código penal, artigo 214, o crime autônomo de atentado violento ao pudor, revogado pelo novo regramento.</w:t>
      </w:r>
    </w:p>
    <w:p w:rsidR="003F65BE" w:rsidRDefault="003F65BE">
      <w:pPr>
        <w:spacing w:line="21"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Sendo assim, pode-se afirmar que a consumação do delito de estupro de vulnerável dá-se com efetiva penetração do pênis na cavidade</w:t>
      </w:r>
      <w:r>
        <w:rPr>
          <w:rFonts w:eastAsia="Times New Roman"/>
          <w:sz w:val="24"/>
          <w:szCs w:val="24"/>
        </w:rPr>
        <w:t xml:space="preserve"> vaginal, forma vinculada ao tipo penal na primeira parte do artigo 217-A, caput, do CP. Já o ato libidinoso se consuma de acordo com a segunda parte do artigo, quando o agente pratica ato diverso da conjunção carnal com a vítima, a exemplo de o agente ati</w:t>
      </w:r>
      <w:r>
        <w:rPr>
          <w:rFonts w:eastAsia="Times New Roman"/>
          <w:sz w:val="24"/>
          <w:szCs w:val="24"/>
        </w:rPr>
        <w:t xml:space="preserve">vo passar as mãos sobre as partes íntimas do agente passivo. Veja a letra do artigo 217-A. “Ter conjunção carnal ou praticar outro ato libidinoso com menor de 14 (catorze) anos: Pena - reclusão, de 8 (oito) a 15 (quinze) anos”, redação inserida através da </w:t>
      </w:r>
      <w:r>
        <w:rPr>
          <w:rFonts w:eastAsia="Times New Roman"/>
          <w:sz w:val="24"/>
          <w:szCs w:val="24"/>
        </w:rPr>
        <w:t>Lei n° 12.015/2009.</w:t>
      </w:r>
    </w:p>
    <w:p w:rsidR="003F65BE" w:rsidRDefault="003F65BE">
      <w:pPr>
        <w:spacing w:line="19"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 xml:space="preserve">O delito de estupro de vulnerável é doloso em virtude da vontade do agente de praticar conjunção carnal ou ato libidinoso, em especial com a vítima menor de 14 anos que é objeto de estudo da nossa pesquisa, tendo o agente ativo o </w:t>
      </w:r>
      <w:r>
        <w:rPr>
          <w:rFonts w:eastAsia="Times New Roman"/>
          <w:sz w:val="24"/>
          <w:szCs w:val="24"/>
        </w:rPr>
        <w:t>conhecimento de que o agente</w:t>
      </w:r>
    </w:p>
    <w:p w:rsidR="003F65BE" w:rsidRDefault="003F65BE">
      <w:pPr>
        <w:sectPr w:rsidR="003F65BE">
          <w:pgSz w:w="11900" w:h="16838"/>
          <w:pgMar w:top="699" w:right="1126" w:bottom="512"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17</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48" w:lineRule="auto"/>
        <w:ind w:left="260" w:right="20"/>
        <w:jc w:val="both"/>
        <w:rPr>
          <w:sz w:val="20"/>
          <w:szCs w:val="20"/>
        </w:rPr>
      </w:pPr>
      <w:r>
        <w:rPr>
          <w:rFonts w:eastAsia="Times New Roman"/>
          <w:sz w:val="24"/>
          <w:szCs w:val="24"/>
        </w:rPr>
        <w:t>passivo é menor de 14 anos, pessoa caracterizada pela imaturidade e em desenvolvimento sexual. Não há no crime de estupro de vulnerável na modalidade culposa por carência de lei.</w:t>
      </w:r>
    </w:p>
    <w:p w:rsidR="003F65BE" w:rsidRDefault="003F65BE">
      <w:pPr>
        <w:spacing w:line="15" w:lineRule="exact"/>
        <w:rPr>
          <w:sz w:val="20"/>
          <w:szCs w:val="20"/>
        </w:rPr>
      </w:pPr>
    </w:p>
    <w:p w:rsidR="003F65BE" w:rsidRDefault="00CD6827">
      <w:pPr>
        <w:ind w:left="1400"/>
        <w:rPr>
          <w:sz w:val="20"/>
          <w:szCs w:val="20"/>
        </w:rPr>
      </w:pPr>
      <w:r>
        <w:rPr>
          <w:rFonts w:eastAsia="Times New Roman"/>
          <w:sz w:val="24"/>
          <w:szCs w:val="24"/>
        </w:rPr>
        <w:t xml:space="preserve">Vejam  o  que  diz </w:t>
      </w:r>
      <w:r>
        <w:rPr>
          <w:rFonts w:eastAsia="Times New Roman"/>
          <w:sz w:val="24"/>
          <w:szCs w:val="24"/>
        </w:rPr>
        <w:t xml:space="preserve"> o  doutrinador  Rogério  Greco  (2011,  p.  536)  a  respeito  do</w:t>
      </w:r>
    </w:p>
    <w:p w:rsidR="003F65BE" w:rsidRDefault="003F65BE">
      <w:pPr>
        <w:spacing w:line="137" w:lineRule="exact"/>
        <w:rPr>
          <w:sz w:val="20"/>
          <w:szCs w:val="20"/>
        </w:rPr>
      </w:pPr>
    </w:p>
    <w:p w:rsidR="003F65BE" w:rsidRDefault="00CD6827">
      <w:pPr>
        <w:ind w:left="260"/>
        <w:rPr>
          <w:sz w:val="20"/>
          <w:szCs w:val="20"/>
        </w:rPr>
      </w:pPr>
      <w:r>
        <w:rPr>
          <w:rFonts w:eastAsia="Times New Roman"/>
          <w:sz w:val="24"/>
          <w:szCs w:val="24"/>
        </w:rPr>
        <w:t>assunto:</w:t>
      </w:r>
    </w:p>
    <w:p w:rsidR="003F65BE" w:rsidRDefault="003F65BE">
      <w:pPr>
        <w:spacing w:line="150" w:lineRule="exact"/>
        <w:rPr>
          <w:sz w:val="20"/>
          <w:szCs w:val="20"/>
        </w:rPr>
      </w:pPr>
    </w:p>
    <w:p w:rsidR="003F65BE" w:rsidRDefault="00CD6827">
      <w:pPr>
        <w:spacing w:line="235" w:lineRule="auto"/>
        <w:ind w:left="2540" w:right="20"/>
        <w:jc w:val="both"/>
        <w:rPr>
          <w:sz w:val="20"/>
          <w:szCs w:val="20"/>
        </w:rPr>
      </w:pPr>
      <w:r>
        <w:rPr>
          <w:rFonts w:eastAsia="Times New Roman"/>
          <w:sz w:val="20"/>
          <w:szCs w:val="20"/>
        </w:rPr>
        <w:t xml:space="preserve">Se, na hipótese concreta, o agente desconhecia qualquer uma dessas características constante da infração penal em estudo, poderá ser alegado o erro de tipo, afastando se o dolo </w:t>
      </w:r>
      <w:r>
        <w:rPr>
          <w:rFonts w:eastAsia="Times New Roman"/>
          <w:sz w:val="20"/>
          <w:szCs w:val="20"/>
        </w:rPr>
        <w:t>e, consequentemente, a tipicidade do fato.</w:t>
      </w:r>
    </w:p>
    <w:p w:rsidR="003F65BE" w:rsidRDefault="003F65BE">
      <w:pPr>
        <w:spacing w:line="13" w:lineRule="exact"/>
        <w:rPr>
          <w:sz w:val="20"/>
          <w:szCs w:val="20"/>
        </w:rPr>
      </w:pPr>
    </w:p>
    <w:p w:rsidR="003F65BE" w:rsidRDefault="00CD6827">
      <w:pPr>
        <w:spacing w:line="234" w:lineRule="auto"/>
        <w:ind w:left="2540"/>
        <w:jc w:val="both"/>
        <w:rPr>
          <w:sz w:val="20"/>
          <w:szCs w:val="20"/>
        </w:rPr>
      </w:pPr>
      <w:r>
        <w:rPr>
          <w:rFonts w:eastAsia="Times New Roman"/>
          <w:sz w:val="20"/>
          <w:szCs w:val="20"/>
        </w:rPr>
        <w:t>Não é admissível a modalidade culposa, por ausência de disposição legal expressa nesse sentido.</w:t>
      </w:r>
    </w:p>
    <w:p w:rsidR="003F65BE" w:rsidRDefault="003F65BE">
      <w:pPr>
        <w:spacing w:line="245" w:lineRule="exact"/>
        <w:rPr>
          <w:sz w:val="20"/>
          <w:szCs w:val="20"/>
        </w:rPr>
      </w:pPr>
    </w:p>
    <w:p w:rsidR="003F65BE" w:rsidRDefault="00CD6827">
      <w:pPr>
        <w:spacing w:line="357" w:lineRule="auto"/>
        <w:ind w:left="260" w:firstLine="1193"/>
        <w:jc w:val="both"/>
        <w:rPr>
          <w:sz w:val="20"/>
          <w:szCs w:val="20"/>
        </w:rPr>
      </w:pPr>
      <w:r>
        <w:rPr>
          <w:rFonts w:eastAsia="Times New Roman"/>
          <w:sz w:val="24"/>
          <w:szCs w:val="24"/>
        </w:rPr>
        <w:t xml:space="preserve">O delito de estupro de vulnerável é comissivo, a expressão </w:t>
      </w:r>
      <w:r>
        <w:rPr>
          <w:rFonts w:eastAsia="Times New Roman"/>
          <w:i/>
          <w:iCs/>
          <w:sz w:val="24"/>
          <w:szCs w:val="24"/>
        </w:rPr>
        <w:t>ter e praticar</w:t>
      </w:r>
      <w:r>
        <w:rPr>
          <w:rFonts w:eastAsia="Times New Roman"/>
          <w:sz w:val="24"/>
          <w:szCs w:val="24"/>
        </w:rPr>
        <w:t xml:space="preserve"> pressupõe uma ação exclusiva do agente, q</w:t>
      </w:r>
      <w:r>
        <w:rPr>
          <w:rFonts w:eastAsia="Times New Roman"/>
          <w:sz w:val="24"/>
          <w:szCs w:val="24"/>
        </w:rPr>
        <w:t xml:space="preserve">ue afeta o bem jurídico do vulnerável. Nada obstante, que o delito possa ser cometido por omissão imprópria, quando o agente deve e pode agir para evitar o fato criminoso, como previsto no Código Penal, em seu artigo 13, </w:t>
      </w:r>
      <w:r>
        <w:rPr>
          <w:rFonts w:eastAsia="Times New Roman"/>
          <w:b/>
          <w:bCs/>
          <w:sz w:val="24"/>
          <w:szCs w:val="24"/>
        </w:rPr>
        <w:t>§</w:t>
      </w:r>
      <w:r>
        <w:rPr>
          <w:rFonts w:eastAsia="Times New Roman"/>
          <w:sz w:val="24"/>
          <w:szCs w:val="24"/>
        </w:rPr>
        <w:t xml:space="preserve"> 2°. Segundo Greco (2011, p. 536),</w:t>
      </w:r>
      <w:r>
        <w:rPr>
          <w:rFonts w:eastAsia="Times New Roman"/>
          <w:sz w:val="24"/>
          <w:szCs w:val="24"/>
        </w:rPr>
        <w:t xml:space="preserve"> nessa hipótese, o omisso deverá sofrer as mesmas penas constantes no preceito secundário do artigo 217-A, do diploma penal.</w:t>
      </w:r>
    </w:p>
    <w:p w:rsidR="003F65BE" w:rsidRDefault="003F65BE">
      <w:pPr>
        <w:spacing w:line="22"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 xml:space="preserve">De acordo com os § 3° e 4° do artigo 217-A, entende-se haver duas situações qualificadoras no crime de estupro de vulnerável, uma </w:t>
      </w:r>
      <w:r>
        <w:rPr>
          <w:rFonts w:eastAsia="Times New Roman"/>
          <w:sz w:val="24"/>
          <w:szCs w:val="24"/>
        </w:rPr>
        <w:t>quando resultar lesão corporal de natureza grave, a outra quando o resultar na morte da vítima, nestes termos:</w:t>
      </w:r>
    </w:p>
    <w:p w:rsidR="003F65BE" w:rsidRDefault="003F65BE">
      <w:pPr>
        <w:spacing w:line="11" w:lineRule="exact"/>
        <w:rPr>
          <w:sz w:val="20"/>
          <w:szCs w:val="20"/>
        </w:rPr>
      </w:pPr>
    </w:p>
    <w:p w:rsidR="003F65BE" w:rsidRDefault="00CD6827">
      <w:pPr>
        <w:numPr>
          <w:ilvl w:val="0"/>
          <w:numId w:val="6"/>
        </w:numPr>
        <w:tabs>
          <w:tab w:val="left" w:pos="2691"/>
        </w:tabs>
        <w:spacing w:line="211" w:lineRule="auto"/>
        <w:ind w:left="2540" w:right="2000" w:hanging="9"/>
        <w:rPr>
          <w:rFonts w:eastAsia="Times New Roman"/>
          <w:sz w:val="20"/>
          <w:szCs w:val="20"/>
        </w:rPr>
      </w:pPr>
      <w:r>
        <w:rPr>
          <w:rFonts w:eastAsia="Times New Roman"/>
          <w:sz w:val="20"/>
          <w:szCs w:val="20"/>
        </w:rPr>
        <w:t>3</w:t>
      </w:r>
      <w:r>
        <w:rPr>
          <w:rFonts w:eastAsia="Times New Roman"/>
          <w:sz w:val="25"/>
          <w:szCs w:val="25"/>
          <w:u w:val="single"/>
          <w:vertAlign w:val="superscript"/>
        </w:rPr>
        <w:t>o</w:t>
      </w:r>
      <w:r>
        <w:rPr>
          <w:rFonts w:eastAsia="Times New Roman"/>
          <w:sz w:val="20"/>
          <w:szCs w:val="20"/>
        </w:rPr>
        <w:t xml:space="preserve"> Se da conduta resulta lesão corporal de natureza grave: Pena - reclusão, de 10 (dez) a 20 (vinte) anos.</w:t>
      </w:r>
    </w:p>
    <w:p w:rsidR="003F65BE" w:rsidRDefault="003F65BE">
      <w:pPr>
        <w:spacing w:line="1" w:lineRule="exact"/>
        <w:rPr>
          <w:rFonts w:eastAsia="Times New Roman"/>
          <w:sz w:val="20"/>
          <w:szCs w:val="20"/>
        </w:rPr>
      </w:pPr>
    </w:p>
    <w:p w:rsidR="003F65BE" w:rsidRDefault="00CD6827">
      <w:pPr>
        <w:numPr>
          <w:ilvl w:val="0"/>
          <w:numId w:val="6"/>
        </w:numPr>
        <w:tabs>
          <w:tab w:val="left" w:pos="2680"/>
        </w:tabs>
        <w:spacing w:line="206" w:lineRule="auto"/>
        <w:ind w:left="2680" w:hanging="149"/>
        <w:rPr>
          <w:rFonts w:eastAsia="Times New Roman"/>
          <w:sz w:val="20"/>
          <w:szCs w:val="20"/>
        </w:rPr>
      </w:pPr>
      <w:r>
        <w:rPr>
          <w:rFonts w:eastAsia="Times New Roman"/>
          <w:sz w:val="20"/>
          <w:szCs w:val="20"/>
        </w:rPr>
        <w:t>4</w:t>
      </w:r>
      <w:r>
        <w:rPr>
          <w:rFonts w:eastAsia="Times New Roman"/>
          <w:sz w:val="25"/>
          <w:szCs w:val="25"/>
          <w:u w:val="single"/>
          <w:vertAlign w:val="superscript"/>
        </w:rPr>
        <w:t>o</w:t>
      </w:r>
      <w:r>
        <w:rPr>
          <w:rFonts w:eastAsia="Times New Roman"/>
          <w:sz w:val="20"/>
          <w:szCs w:val="20"/>
        </w:rPr>
        <w:t xml:space="preserve">  Se da conduta resulta morte:</w:t>
      </w:r>
    </w:p>
    <w:p w:rsidR="003F65BE" w:rsidRDefault="00CD6827">
      <w:pPr>
        <w:spacing w:line="221" w:lineRule="auto"/>
        <w:ind w:left="2540"/>
        <w:rPr>
          <w:sz w:val="20"/>
          <w:szCs w:val="20"/>
        </w:rPr>
      </w:pPr>
      <w:r>
        <w:rPr>
          <w:rFonts w:eastAsia="Times New Roman"/>
          <w:sz w:val="20"/>
          <w:szCs w:val="20"/>
        </w:rPr>
        <w:t>Pena - reclusão, de 12 (doze) a 30 (trinta) anos.</w:t>
      </w:r>
    </w:p>
    <w:p w:rsidR="003F65BE" w:rsidRDefault="003F65BE">
      <w:pPr>
        <w:spacing w:line="244"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Verificam-se ainda, causas de aumento de pena prevista para este tipo de crime, duas delas determinadas pelo artigo 226 do CP, com redação conferida pela Lei 11.106, de 28 de março de 2005, nestas palavras</w:t>
      </w:r>
      <w:r>
        <w:rPr>
          <w:rFonts w:eastAsia="Times New Roman"/>
          <w:sz w:val="24"/>
          <w:szCs w:val="24"/>
        </w:rPr>
        <w:t>:</w:t>
      </w:r>
    </w:p>
    <w:p w:rsidR="003F65BE" w:rsidRDefault="003F65BE">
      <w:pPr>
        <w:spacing w:line="9" w:lineRule="exact"/>
        <w:rPr>
          <w:sz w:val="20"/>
          <w:szCs w:val="20"/>
        </w:rPr>
      </w:pPr>
    </w:p>
    <w:p w:rsidR="003F65BE" w:rsidRDefault="00CD6827">
      <w:pPr>
        <w:ind w:left="2540"/>
        <w:rPr>
          <w:sz w:val="20"/>
          <w:szCs w:val="20"/>
        </w:rPr>
      </w:pPr>
      <w:r>
        <w:rPr>
          <w:rFonts w:eastAsia="Times New Roman"/>
          <w:sz w:val="20"/>
          <w:szCs w:val="20"/>
        </w:rPr>
        <w:t>Art. 226. A pena é aumentada:</w:t>
      </w:r>
    </w:p>
    <w:p w:rsidR="003F65BE" w:rsidRDefault="00CD6827">
      <w:pPr>
        <w:spacing w:line="237" w:lineRule="auto"/>
        <w:ind w:left="2540"/>
        <w:rPr>
          <w:sz w:val="20"/>
          <w:szCs w:val="20"/>
        </w:rPr>
      </w:pPr>
      <w:r>
        <w:rPr>
          <w:rFonts w:eastAsia="Times New Roman"/>
          <w:sz w:val="20"/>
          <w:szCs w:val="20"/>
        </w:rPr>
        <w:t>I - de quarta parte, se o crime é cometido com o concurso de 2 (duas) ou mais</w:t>
      </w:r>
    </w:p>
    <w:p w:rsidR="003F65BE" w:rsidRDefault="003F65BE">
      <w:pPr>
        <w:spacing w:line="1" w:lineRule="exact"/>
        <w:rPr>
          <w:sz w:val="20"/>
          <w:szCs w:val="20"/>
        </w:rPr>
      </w:pPr>
    </w:p>
    <w:p w:rsidR="003F65BE" w:rsidRDefault="00CD6827">
      <w:pPr>
        <w:ind w:left="2540"/>
        <w:rPr>
          <w:sz w:val="20"/>
          <w:szCs w:val="20"/>
        </w:rPr>
      </w:pPr>
      <w:r>
        <w:rPr>
          <w:rFonts w:eastAsia="Times New Roman"/>
          <w:sz w:val="20"/>
          <w:szCs w:val="20"/>
        </w:rPr>
        <w:t>pessoas;</w:t>
      </w:r>
    </w:p>
    <w:p w:rsidR="003F65BE" w:rsidRDefault="003F65BE">
      <w:pPr>
        <w:spacing w:line="11" w:lineRule="exact"/>
        <w:rPr>
          <w:sz w:val="20"/>
          <w:szCs w:val="20"/>
        </w:rPr>
      </w:pPr>
    </w:p>
    <w:p w:rsidR="003F65BE" w:rsidRDefault="00CD6827">
      <w:pPr>
        <w:numPr>
          <w:ilvl w:val="0"/>
          <w:numId w:val="7"/>
        </w:numPr>
        <w:tabs>
          <w:tab w:val="left" w:pos="2737"/>
        </w:tabs>
        <w:spacing w:line="236" w:lineRule="auto"/>
        <w:ind w:left="2540" w:right="20" w:hanging="9"/>
        <w:jc w:val="both"/>
        <w:rPr>
          <w:rFonts w:eastAsia="Times New Roman"/>
          <w:sz w:val="20"/>
          <w:szCs w:val="20"/>
        </w:rPr>
      </w:pPr>
      <w:r>
        <w:rPr>
          <w:rFonts w:eastAsia="Times New Roman"/>
          <w:sz w:val="20"/>
          <w:szCs w:val="20"/>
        </w:rPr>
        <w:t>- de metade, se o agente é ascendente, padrasto ou madrasta, tio, irmão, cônjuge, companheiro, tutor, curador, preceptor ou empregador</w:t>
      </w:r>
      <w:r>
        <w:rPr>
          <w:rFonts w:eastAsia="Times New Roman"/>
          <w:sz w:val="20"/>
          <w:szCs w:val="20"/>
        </w:rPr>
        <w:t xml:space="preserve"> da vítima ou por qualquer outro título tem autoridade sobre ela;</w:t>
      </w:r>
    </w:p>
    <w:p w:rsidR="003F65BE" w:rsidRDefault="003F65BE">
      <w:pPr>
        <w:spacing w:line="243" w:lineRule="exact"/>
        <w:rPr>
          <w:sz w:val="20"/>
          <w:szCs w:val="20"/>
        </w:rPr>
      </w:pPr>
    </w:p>
    <w:p w:rsidR="003F65BE" w:rsidRDefault="00CD6827">
      <w:pPr>
        <w:spacing w:line="350" w:lineRule="auto"/>
        <w:ind w:left="260" w:firstLine="1133"/>
        <w:rPr>
          <w:sz w:val="20"/>
          <w:szCs w:val="20"/>
        </w:rPr>
      </w:pPr>
      <w:r>
        <w:rPr>
          <w:rFonts w:eastAsia="Times New Roman"/>
          <w:sz w:val="24"/>
          <w:szCs w:val="24"/>
        </w:rPr>
        <w:t xml:space="preserve">Ainda, causas de aumento de pena prevista no artigo 234-A, esta com redação conferida pela Lei 12.015, de 7 de agosto de 2009, assevera, </w:t>
      </w:r>
      <w:r>
        <w:rPr>
          <w:rFonts w:eastAsia="Times New Roman"/>
          <w:i/>
          <w:iCs/>
          <w:sz w:val="24"/>
          <w:szCs w:val="24"/>
        </w:rPr>
        <w:t>in verbis</w:t>
      </w:r>
      <w:r>
        <w:rPr>
          <w:rFonts w:eastAsia="Times New Roman"/>
          <w:sz w:val="24"/>
          <w:szCs w:val="24"/>
        </w:rPr>
        <w:t>:</w:t>
      </w:r>
    </w:p>
    <w:p w:rsidR="003F65BE" w:rsidRDefault="003F65BE">
      <w:pPr>
        <w:spacing w:line="10" w:lineRule="exact"/>
        <w:rPr>
          <w:sz w:val="20"/>
          <w:szCs w:val="20"/>
        </w:rPr>
      </w:pPr>
    </w:p>
    <w:p w:rsidR="003F65BE" w:rsidRDefault="00CD6827">
      <w:pPr>
        <w:ind w:left="2540"/>
        <w:rPr>
          <w:sz w:val="20"/>
          <w:szCs w:val="20"/>
        </w:rPr>
      </w:pPr>
      <w:r>
        <w:rPr>
          <w:rFonts w:eastAsia="Times New Roman"/>
          <w:sz w:val="20"/>
          <w:szCs w:val="20"/>
        </w:rPr>
        <w:t xml:space="preserve">Art. 234-A.  Nos crimes previstos neste </w:t>
      </w:r>
      <w:r>
        <w:rPr>
          <w:rFonts w:eastAsia="Times New Roman"/>
          <w:sz w:val="20"/>
          <w:szCs w:val="20"/>
        </w:rPr>
        <w:t>Título a pena é aumentada:</w:t>
      </w:r>
    </w:p>
    <w:p w:rsidR="003F65BE" w:rsidRDefault="00CD6827">
      <w:pPr>
        <w:ind w:left="2540"/>
        <w:rPr>
          <w:sz w:val="20"/>
          <w:szCs w:val="20"/>
        </w:rPr>
      </w:pPr>
      <w:r>
        <w:rPr>
          <w:rFonts w:eastAsia="Times New Roman"/>
          <w:sz w:val="20"/>
          <w:szCs w:val="20"/>
        </w:rPr>
        <w:t>I – (VETADO);</w:t>
      </w:r>
    </w:p>
    <w:p w:rsidR="003F65BE" w:rsidRDefault="00CD6827">
      <w:pPr>
        <w:ind w:left="2540"/>
        <w:rPr>
          <w:sz w:val="20"/>
          <w:szCs w:val="20"/>
        </w:rPr>
      </w:pPr>
      <w:r>
        <w:rPr>
          <w:rFonts w:eastAsia="Times New Roman"/>
          <w:sz w:val="20"/>
          <w:szCs w:val="20"/>
        </w:rPr>
        <w:t>II – (VETADO);</w:t>
      </w:r>
    </w:p>
    <w:p w:rsidR="003F65BE" w:rsidRDefault="003F65BE">
      <w:pPr>
        <w:spacing w:line="11" w:lineRule="exact"/>
        <w:rPr>
          <w:sz w:val="20"/>
          <w:szCs w:val="20"/>
        </w:rPr>
      </w:pPr>
    </w:p>
    <w:p w:rsidR="003F65BE" w:rsidRDefault="00CD6827">
      <w:pPr>
        <w:spacing w:line="235" w:lineRule="auto"/>
        <w:ind w:left="2540" w:right="280"/>
        <w:rPr>
          <w:sz w:val="20"/>
          <w:szCs w:val="20"/>
        </w:rPr>
      </w:pPr>
      <w:r>
        <w:rPr>
          <w:rFonts w:eastAsia="Times New Roman"/>
          <w:sz w:val="20"/>
          <w:szCs w:val="20"/>
        </w:rPr>
        <w:t>III - de metade, se do crime resultar gravidez; e IV - de um sexto até a metade, se o agente transmite à vitima doença sexualmente transmissível de que sabe ou deveria saber ser portador.</w:t>
      </w:r>
    </w:p>
    <w:p w:rsidR="003F65BE" w:rsidRDefault="003F65BE">
      <w:pPr>
        <w:sectPr w:rsidR="003F65BE">
          <w:pgSz w:w="11900" w:h="16838"/>
          <w:pgMar w:top="699" w:right="1126" w:bottom="1440"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18</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 xml:space="preserve">Segundo Capez (2011, p. 81), o delito de estupro de vulnerável será crime hediondo de acordo com o artigo 1°, VI, da Lei 8.072/90, a conduta típica do artigo 217-A, </w:t>
      </w:r>
      <w:r>
        <w:rPr>
          <w:rFonts w:eastAsia="Times New Roman"/>
          <w:i/>
          <w:iCs/>
          <w:sz w:val="24"/>
          <w:szCs w:val="24"/>
        </w:rPr>
        <w:t xml:space="preserve">caput, </w:t>
      </w:r>
      <w:r>
        <w:rPr>
          <w:rFonts w:eastAsia="Times New Roman"/>
          <w:sz w:val="24"/>
          <w:szCs w:val="24"/>
        </w:rPr>
        <w:t>e §§ 1°, 2°, 3° e 4°.</w:t>
      </w:r>
    </w:p>
    <w:p w:rsidR="003F65BE" w:rsidRDefault="003F65BE">
      <w:pPr>
        <w:spacing w:line="20"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 xml:space="preserve">O artigo 217-A, instituído pela </w:t>
      </w:r>
      <w:r>
        <w:rPr>
          <w:rFonts w:eastAsia="Times New Roman"/>
          <w:sz w:val="24"/>
          <w:szCs w:val="24"/>
        </w:rPr>
        <w:t xml:space="preserve">12.015/2009, não pode ser aplicado nos crimes praticados antes de sua vigência em obediência a irretroatividade da lei, pois este princípio não permite que o instituto jurídico da </w:t>
      </w:r>
      <w:r>
        <w:rPr>
          <w:rFonts w:eastAsia="Times New Roman"/>
          <w:i/>
          <w:iCs/>
          <w:sz w:val="24"/>
          <w:szCs w:val="24"/>
        </w:rPr>
        <w:t>novatio legis in pejus</w:t>
      </w:r>
      <w:r>
        <w:rPr>
          <w:rFonts w:eastAsia="Times New Roman"/>
          <w:sz w:val="24"/>
          <w:szCs w:val="24"/>
        </w:rPr>
        <w:t xml:space="preserve"> possa retroagir para agravar a situação do agente, sa</w:t>
      </w:r>
      <w:r>
        <w:rPr>
          <w:rFonts w:eastAsia="Times New Roman"/>
          <w:sz w:val="24"/>
          <w:szCs w:val="24"/>
        </w:rPr>
        <w:t xml:space="preserve">lvo para beneficiar o acusado, como bem diz o texto constitucional no artigo 5°, XL, “A lei penal não retroagirá, salvo para beneficiar o réu”. A </w:t>
      </w:r>
      <w:r>
        <w:rPr>
          <w:rFonts w:eastAsia="Times New Roman"/>
          <w:i/>
          <w:iCs/>
          <w:sz w:val="24"/>
          <w:szCs w:val="24"/>
        </w:rPr>
        <w:t>novatio legis in</w:t>
      </w:r>
      <w:r>
        <w:rPr>
          <w:rFonts w:eastAsia="Times New Roman"/>
          <w:sz w:val="24"/>
          <w:szCs w:val="24"/>
        </w:rPr>
        <w:t xml:space="preserve"> </w:t>
      </w:r>
      <w:r>
        <w:rPr>
          <w:rFonts w:eastAsia="Times New Roman"/>
          <w:i/>
          <w:iCs/>
          <w:sz w:val="24"/>
          <w:szCs w:val="24"/>
        </w:rPr>
        <w:t xml:space="preserve">pejus </w:t>
      </w:r>
      <w:r>
        <w:rPr>
          <w:rFonts w:eastAsia="Times New Roman"/>
          <w:sz w:val="24"/>
          <w:szCs w:val="24"/>
        </w:rPr>
        <w:t>traduz que a lei nova é mais severa porque prevê pena mínima de 8 (oito) anos, ao passo</w:t>
      </w:r>
      <w:r>
        <w:rPr>
          <w:rFonts w:eastAsia="Times New Roman"/>
          <w:i/>
          <w:iCs/>
          <w:sz w:val="24"/>
          <w:szCs w:val="24"/>
        </w:rPr>
        <w:t xml:space="preserve"> </w:t>
      </w:r>
      <w:r>
        <w:rPr>
          <w:rFonts w:eastAsia="Times New Roman"/>
          <w:sz w:val="24"/>
          <w:szCs w:val="24"/>
        </w:rPr>
        <w:t>que a lei anterior previa pena mínima de 6 (seis) anos.</w:t>
      </w:r>
    </w:p>
    <w:p w:rsidR="003F65BE" w:rsidRDefault="003F65BE">
      <w:pPr>
        <w:spacing w:line="18" w:lineRule="exact"/>
        <w:rPr>
          <w:sz w:val="20"/>
          <w:szCs w:val="20"/>
        </w:rPr>
      </w:pPr>
    </w:p>
    <w:p w:rsidR="003F65BE" w:rsidRDefault="00CD6827">
      <w:pPr>
        <w:spacing w:line="359" w:lineRule="auto"/>
        <w:ind w:left="260" w:firstLine="1133"/>
        <w:jc w:val="both"/>
        <w:rPr>
          <w:sz w:val="20"/>
          <w:szCs w:val="20"/>
        </w:rPr>
      </w:pPr>
      <w:r>
        <w:rPr>
          <w:rFonts w:eastAsia="Times New Roman"/>
          <w:sz w:val="24"/>
          <w:szCs w:val="24"/>
        </w:rPr>
        <w:t>No crime de estupro, a vítima é coagida, obrigada a realizar o ato sexual. Premissa do crime, portanto, é o dissenso da vítima, isto é, que o ato seja realizado contra sua vontade. Deve, ademais, se</w:t>
      </w:r>
      <w:r>
        <w:rPr>
          <w:rFonts w:eastAsia="Times New Roman"/>
          <w:sz w:val="24"/>
          <w:szCs w:val="24"/>
        </w:rPr>
        <w:t>r um dissenso sério, que indique não ter a vítima aderido à conduta do agente. Por isso, não há crime quando um casal está se beijando e o homem começa a tirar a roupa da mulher e, embora ela diga para ele parar, não o faz de forma enérgica, não tomando ne</w:t>
      </w:r>
      <w:r>
        <w:rPr>
          <w:rFonts w:eastAsia="Times New Roman"/>
          <w:sz w:val="24"/>
          <w:szCs w:val="24"/>
        </w:rPr>
        <w:t>nhuma atitude para evitar que ele tire sua roupa e acaricie suas partes íntimas. Ocorre que, em tal caso, não se mostrou presente o emprego de violência ou grave ameaça. De outro lado, não é necessária à configuração do crime a chamada “resistência heróica</w:t>
      </w:r>
      <w:r>
        <w:rPr>
          <w:rFonts w:eastAsia="Times New Roman"/>
          <w:sz w:val="24"/>
          <w:szCs w:val="24"/>
        </w:rPr>
        <w:t>”, em que a vítima luta fisicamente com o agente até suas últimas forças. Veja-se, por exemplo, a hipótese do estuprador que está armado, em que a luta por parte da vítima só lhe traria riscos maiores (até de morte). O crime, porém, está perfeitamente deli</w:t>
      </w:r>
      <w:r>
        <w:rPr>
          <w:rFonts w:eastAsia="Times New Roman"/>
          <w:sz w:val="24"/>
          <w:szCs w:val="24"/>
        </w:rPr>
        <w:t>neado em razão do emprego da grave ameaça (GONÇALVES, 2011).</w:t>
      </w:r>
    </w:p>
    <w:p w:rsidR="003F65BE" w:rsidRDefault="003F65BE">
      <w:pPr>
        <w:spacing w:line="12" w:lineRule="exact"/>
        <w:rPr>
          <w:sz w:val="20"/>
          <w:szCs w:val="20"/>
        </w:rPr>
      </w:pPr>
    </w:p>
    <w:p w:rsidR="003F65BE" w:rsidRDefault="00CD6827">
      <w:pPr>
        <w:spacing w:line="354" w:lineRule="auto"/>
        <w:ind w:left="260" w:right="20" w:firstLine="1133"/>
        <w:jc w:val="both"/>
        <w:rPr>
          <w:sz w:val="20"/>
          <w:szCs w:val="20"/>
        </w:rPr>
      </w:pPr>
      <w:r>
        <w:rPr>
          <w:rFonts w:eastAsia="Times New Roman"/>
          <w:sz w:val="24"/>
          <w:szCs w:val="24"/>
        </w:rPr>
        <w:t>Este tipo de crime hediondo tem como objeto jurídico a liberdade sexual dos indivíduos, conceituada como o direito de a pessoa dispor livremente do próprio corpo, conforme explica Monteiro:</w:t>
      </w:r>
    </w:p>
    <w:p w:rsidR="003F65BE" w:rsidRDefault="003F65BE">
      <w:pPr>
        <w:spacing w:line="20" w:lineRule="exact"/>
        <w:rPr>
          <w:sz w:val="20"/>
          <w:szCs w:val="20"/>
        </w:rPr>
      </w:pPr>
    </w:p>
    <w:p w:rsidR="003F65BE" w:rsidRDefault="00CD6827">
      <w:pPr>
        <w:spacing w:line="237" w:lineRule="auto"/>
        <w:ind w:left="2540"/>
        <w:jc w:val="both"/>
        <w:rPr>
          <w:sz w:val="20"/>
          <w:szCs w:val="20"/>
        </w:rPr>
      </w:pPr>
      <w:r>
        <w:rPr>
          <w:rFonts w:eastAsia="Times New Roman"/>
          <w:sz w:val="20"/>
          <w:szCs w:val="20"/>
        </w:rPr>
        <w:t>Tutela-se, outrossim, a honra sexual do homem e da mulher. Insere-se, pois, naqueles direitos que tem a pessoa humana de dispor de seu corpo como melhor lhe aprouver, dentro de certas restrições impostas pela vida em sociedade. (MONTEIRO, 2011, p. 71).</w:t>
      </w:r>
    </w:p>
    <w:p w:rsidR="003F65BE" w:rsidRDefault="003F65BE">
      <w:pPr>
        <w:sectPr w:rsidR="003F65BE">
          <w:pgSz w:w="11900" w:h="16838"/>
          <w:pgMar w:top="699" w:right="1126" w:bottom="1440"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19</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1" w:lineRule="exact"/>
        <w:rPr>
          <w:sz w:val="20"/>
          <w:szCs w:val="20"/>
        </w:rPr>
      </w:pPr>
    </w:p>
    <w:p w:rsidR="003F65BE" w:rsidRDefault="00CD6827">
      <w:pPr>
        <w:numPr>
          <w:ilvl w:val="0"/>
          <w:numId w:val="8"/>
        </w:numPr>
        <w:tabs>
          <w:tab w:val="left" w:pos="500"/>
        </w:tabs>
        <w:ind w:left="500" w:hanging="238"/>
        <w:rPr>
          <w:rFonts w:eastAsia="Times New Roman"/>
          <w:b/>
          <w:bCs/>
          <w:sz w:val="24"/>
          <w:szCs w:val="24"/>
        </w:rPr>
      </w:pPr>
      <w:r>
        <w:rPr>
          <w:rFonts w:eastAsia="Times New Roman"/>
          <w:b/>
          <w:bCs/>
          <w:sz w:val="24"/>
          <w:szCs w:val="24"/>
        </w:rPr>
        <w:t>ANÁLISE DOS BENS JURÍDICOS DA “DIGNIDADE SEXUAL” E “FAMÍLIA”</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 xml:space="preserve">O segundo capítulo foi elaborado com o objetivo de realizar uma análise no que tange aos bens jurídicos da dignidade sexual e da Família, partindo da compreensão </w:t>
      </w:r>
      <w:r>
        <w:rPr>
          <w:rFonts w:eastAsia="Times New Roman"/>
          <w:sz w:val="24"/>
          <w:szCs w:val="24"/>
        </w:rPr>
        <w:t>de conceitos dos instrumentos constitucionais relacionados ao crime de estupro de vulnerável, na interpretação de doutrinadores renomados.</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0" w:lineRule="exact"/>
        <w:rPr>
          <w:sz w:val="20"/>
          <w:szCs w:val="20"/>
        </w:rPr>
      </w:pPr>
    </w:p>
    <w:p w:rsidR="003F65BE" w:rsidRDefault="00CD6827">
      <w:pPr>
        <w:ind w:left="260"/>
        <w:rPr>
          <w:sz w:val="20"/>
          <w:szCs w:val="20"/>
        </w:rPr>
      </w:pPr>
      <w:r>
        <w:rPr>
          <w:rFonts w:eastAsia="Times New Roman"/>
          <w:b/>
          <w:bCs/>
          <w:sz w:val="24"/>
          <w:szCs w:val="24"/>
        </w:rPr>
        <w:t>2.1. Concepção principiológica</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5"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No estágio atual da Ciência do Direito, parte-se da ideia de que os princípios</w:t>
      </w:r>
      <w:r>
        <w:rPr>
          <w:rFonts w:eastAsia="Times New Roman"/>
          <w:sz w:val="24"/>
          <w:szCs w:val="24"/>
        </w:rPr>
        <w:t xml:space="preserve"> não podem ser analisados apenas como meras aspirações ou diretrizes vagas, pois contêm inegável força normativa. Portanto, os princípios servem para expressar os valores fundamentais inseridos em nossa na sociedade por intermédio da Constituição, atuando </w:t>
      </w:r>
      <w:r>
        <w:rPr>
          <w:rFonts w:eastAsia="Times New Roman"/>
          <w:sz w:val="24"/>
          <w:szCs w:val="24"/>
        </w:rPr>
        <w:t>como modelo ideal de justiça (Gonçalves, 2012, p. 78).</w:t>
      </w:r>
    </w:p>
    <w:p w:rsidR="003F65BE" w:rsidRDefault="003F65BE">
      <w:pPr>
        <w:spacing w:line="17"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 xml:space="preserve">Segundo Fredie Didier Jr (2011, p. 106), princípios e regras são normas, pois ambos expressam o dever ser, que embora seja de espécie diferente eles identificam “razões para juízos concretos de dever </w:t>
      </w:r>
      <w:r>
        <w:rPr>
          <w:rFonts w:eastAsia="Times New Roman"/>
          <w:sz w:val="24"/>
          <w:szCs w:val="24"/>
        </w:rPr>
        <w:t>ser”. Os princípios são normas que determinam que algo seja concretizado com maior abrangência possível, atingir ao máximo sua finalidade, nas possibilidades jurídicas e fatos existentes. Por isso, os princípios são verdadeiros mandados (permissões e proib</w:t>
      </w:r>
      <w:r>
        <w:rPr>
          <w:rFonts w:eastAsia="Times New Roman"/>
          <w:sz w:val="24"/>
          <w:szCs w:val="24"/>
        </w:rPr>
        <w:t>ições), que se caracterizam pelo fato de poder ser utilizado em diferentes casos e que seu cumprimento depende das possibilidades jurídicas e como também das possibilidades reais. Por sua vez, as regras, são normas que devem ser cumpridas ou não, não poden</w:t>
      </w:r>
      <w:r>
        <w:rPr>
          <w:rFonts w:eastAsia="Times New Roman"/>
          <w:sz w:val="24"/>
          <w:szCs w:val="24"/>
        </w:rPr>
        <w:t>do ser cumprida para mais ou para menos, deve ser na forma que ela exige.</w:t>
      </w:r>
    </w:p>
    <w:p w:rsidR="003F65BE" w:rsidRDefault="003F65BE">
      <w:pPr>
        <w:spacing w:line="8" w:lineRule="exact"/>
        <w:rPr>
          <w:sz w:val="20"/>
          <w:szCs w:val="20"/>
        </w:rPr>
      </w:pPr>
    </w:p>
    <w:p w:rsidR="003F65BE" w:rsidRDefault="00CD6827">
      <w:pPr>
        <w:ind w:left="1400"/>
        <w:rPr>
          <w:sz w:val="20"/>
          <w:szCs w:val="20"/>
        </w:rPr>
      </w:pPr>
      <w:r>
        <w:rPr>
          <w:rFonts w:eastAsia="Times New Roman"/>
          <w:sz w:val="24"/>
          <w:szCs w:val="24"/>
        </w:rPr>
        <w:t>Victor Eduardo Rios Gonçalves preleciona em sua obra de Direito Penal (2012,</w:t>
      </w:r>
    </w:p>
    <w:p w:rsidR="003F65BE" w:rsidRDefault="003F65BE">
      <w:pPr>
        <w:spacing w:line="139" w:lineRule="exact"/>
        <w:rPr>
          <w:sz w:val="20"/>
          <w:szCs w:val="20"/>
        </w:rPr>
      </w:pPr>
    </w:p>
    <w:p w:rsidR="003F65BE" w:rsidRDefault="00CD6827">
      <w:pPr>
        <w:ind w:left="260"/>
        <w:rPr>
          <w:sz w:val="20"/>
          <w:szCs w:val="20"/>
        </w:rPr>
      </w:pPr>
      <w:r>
        <w:rPr>
          <w:rFonts w:eastAsia="Times New Roman"/>
          <w:sz w:val="24"/>
          <w:szCs w:val="24"/>
        </w:rPr>
        <w:t>p.79):</w:t>
      </w:r>
    </w:p>
    <w:p w:rsidR="003F65BE" w:rsidRDefault="003F65BE">
      <w:pPr>
        <w:spacing w:line="136" w:lineRule="exact"/>
        <w:rPr>
          <w:sz w:val="20"/>
          <w:szCs w:val="20"/>
        </w:rPr>
      </w:pPr>
    </w:p>
    <w:p w:rsidR="003F65BE" w:rsidRDefault="00CD6827">
      <w:pPr>
        <w:ind w:left="2540"/>
        <w:rPr>
          <w:sz w:val="20"/>
          <w:szCs w:val="20"/>
        </w:rPr>
      </w:pPr>
      <w:r>
        <w:rPr>
          <w:rFonts w:eastAsia="Times New Roman"/>
          <w:sz w:val="20"/>
          <w:szCs w:val="20"/>
        </w:rPr>
        <w:t>A primeira diferença de relevo entre estas espécies de normas jurídicas reside na</w:t>
      </w:r>
    </w:p>
    <w:p w:rsidR="003F65BE" w:rsidRDefault="00CD6827">
      <w:pPr>
        <w:ind w:left="2540"/>
        <w:rPr>
          <w:sz w:val="20"/>
          <w:szCs w:val="20"/>
        </w:rPr>
      </w:pPr>
      <w:r>
        <w:rPr>
          <w:rFonts w:eastAsia="Times New Roman"/>
          <w:sz w:val="20"/>
          <w:szCs w:val="20"/>
        </w:rPr>
        <w:t xml:space="preserve">hierarquia, </w:t>
      </w:r>
      <w:r>
        <w:rPr>
          <w:rFonts w:eastAsia="Times New Roman"/>
          <w:sz w:val="20"/>
          <w:szCs w:val="20"/>
        </w:rPr>
        <w:t>já que os princípios, por constituírem a expressão inicial dos valores</w:t>
      </w:r>
    </w:p>
    <w:p w:rsidR="003F65BE" w:rsidRDefault="00CD6827">
      <w:pPr>
        <w:ind w:left="2540"/>
        <w:rPr>
          <w:sz w:val="20"/>
          <w:szCs w:val="20"/>
        </w:rPr>
      </w:pPr>
      <w:r>
        <w:rPr>
          <w:rFonts w:eastAsia="Times New Roman"/>
          <w:sz w:val="20"/>
          <w:szCs w:val="20"/>
        </w:rPr>
        <w:t>fundamentais que informam determinado ramo jurídico, encontram-se em patamar</w:t>
      </w:r>
    </w:p>
    <w:p w:rsidR="003F65BE" w:rsidRDefault="00CD6827">
      <w:pPr>
        <w:ind w:left="2540"/>
        <w:rPr>
          <w:sz w:val="20"/>
          <w:szCs w:val="20"/>
        </w:rPr>
      </w:pPr>
      <w:r>
        <w:rPr>
          <w:rFonts w:eastAsia="Times New Roman"/>
          <w:sz w:val="20"/>
          <w:szCs w:val="20"/>
        </w:rPr>
        <w:t>superior às regras, de tal modo que um aparente confronto entre ambos deverá ser</w:t>
      </w:r>
    </w:p>
    <w:p w:rsidR="003F65BE" w:rsidRDefault="00CD6827">
      <w:pPr>
        <w:ind w:left="2540"/>
        <w:rPr>
          <w:sz w:val="20"/>
          <w:szCs w:val="20"/>
        </w:rPr>
      </w:pPr>
      <w:r>
        <w:rPr>
          <w:rFonts w:eastAsia="Times New Roman"/>
          <w:sz w:val="20"/>
          <w:szCs w:val="20"/>
        </w:rPr>
        <w:t>solucionado em favor daquel</w:t>
      </w:r>
      <w:r>
        <w:rPr>
          <w:rFonts w:eastAsia="Times New Roman"/>
          <w:sz w:val="20"/>
          <w:szCs w:val="20"/>
        </w:rPr>
        <w:t>es.</w:t>
      </w:r>
    </w:p>
    <w:p w:rsidR="003F65BE" w:rsidRDefault="00CD6827">
      <w:pPr>
        <w:spacing w:line="237" w:lineRule="auto"/>
        <w:ind w:left="2540"/>
        <w:rPr>
          <w:sz w:val="20"/>
          <w:szCs w:val="20"/>
        </w:rPr>
      </w:pPr>
      <w:r>
        <w:rPr>
          <w:rFonts w:eastAsia="Times New Roman"/>
          <w:sz w:val="20"/>
          <w:szCs w:val="20"/>
        </w:rPr>
        <w:t>(...)</w:t>
      </w:r>
    </w:p>
    <w:p w:rsidR="003F65BE" w:rsidRDefault="003F65BE">
      <w:pPr>
        <w:spacing w:line="12" w:lineRule="exact"/>
        <w:rPr>
          <w:sz w:val="20"/>
          <w:szCs w:val="20"/>
        </w:rPr>
      </w:pPr>
    </w:p>
    <w:p w:rsidR="003F65BE" w:rsidRDefault="00CD6827">
      <w:pPr>
        <w:ind w:left="2540"/>
        <w:rPr>
          <w:sz w:val="20"/>
          <w:szCs w:val="20"/>
        </w:rPr>
      </w:pPr>
      <w:r>
        <w:rPr>
          <w:rFonts w:eastAsia="Times New Roman"/>
          <w:sz w:val="20"/>
          <w:szCs w:val="20"/>
        </w:rPr>
        <w:t>O segundo elemento diferenciador reside no conteúdo: os princípios constituem a expressão de valores ou finalidades a serem atingidas, enquanto as regras descrevem condutas a serem observadas, mediante proibições ou autorizações. (...)</w:t>
      </w:r>
    </w:p>
    <w:p w:rsidR="003F65BE" w:rsidRDefault="003F65BE">
      <w:pPr>
        <w:sectPr w:rsidR="003F65BE">
          <w:pgSz w:w="11900" w:h="16838"/>
          <w:pgMar w:top="699" w:right="1126" w:bottom="908"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20</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6" w:lineRule="exact"/>
        <w:rPr>
          <w:sz w:val="20"/>
          <w:szCs w:val="20"/>
        </w:rPr>
      </w:pPr>
    </w:p>
    <w:p w:rsidR="003F65BE" w:rsidRDefault="00CD6827">
      <w:pPr>
        <w:spacing w:line="235" w:lineRule="auto"/>
        <w:ind w:left="2540"/>
        <w:jc w:val="both"/>
        <w:rPr>
          <w:sz w:val="20"/>
          <w:szCs w:val="20"/>
        </w:rPr>
      </w:pPr>
      <w:r>
        <w:rPr>
          <w:rFonts w:eastAsia="Times New Roman"/>
          <w:sz w:val="20"/>
          <w:szCs w:val="20"/>
        </w:rPr>
        <w:t xml:space="preserve">... (terceira diferença), as regras são construídas com base no seguinte padrão: descrição de fato e atribuição de consequências... já os princípios reúnem enunciados e expressão de ideais, que podem ser concretizados de </w:t>
      </w:r>
      <w:r>
        <w:rPr>
          <w:rFonts w:eastAsia="Times New Roman"/>
          <w:sz w:val="20"/>
          <w:szCs w:val="20"/>
        </w:rPr>
        <w:t>diversas formas.</w:t>
      </w:r>
    </w:p>
    <w:p w:rsidR="003F65BE" w:rsidRDefault="003F65BE">
      <w:pPr>
        <w:spacing w:line="339"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Sendo assim, os princípios se destacam pela superioridade às regras por expressar os atuais valores fundamentais inseridos na sociedade pela capacidade de acompanhar a evolução social e se harmonização em diferentes situações. Havendo con</w:t>
      </w:r>
      <w:r>
        <w:rPr>
          <w:rFonts w:eastAsia="Times New Roman"/>
          <w:sz w:val="24"/>
          <w:szCs w:val="24"/>
        </w:rPr>
        <w:t>fronto entre princípios e regras, a solução deve ser com observância dos princípios.</w:t>
      </w:r>
    </w:p>
    <w:p w:rsidR="003F65BE" w:rsidRDefault="003F65BE">
      <w:pPr>
        <w:spacing w:line="19"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Acerca do conflito entre o princípio e a regra, Gonçalves (2012, p. 80), cita como exemplo, o possível conflito entre o princípio da insignificância e o tipo penal previs</w:t>
      </w:r>
      <w:r>
        <w:rPr>
          <w:rFonts w:eastAsia="Times New Roman"/>
          <w:sz w:val="24"/>
          <w:szCs w:val="24"/>
        </w:rPr>
        <w:t>to no artigo 155 do CP. Se a pessoa subtrair de alguém uma folha de papel, para si, comete a conduta típica do referido artigo, punível com a pena cominada. Este ato de subtrair é plenamente típico à luz do artigo mencionado. Ocorre que o princípio da insi</w:t>
      </w:r>
      <w:r>
        <w:rPr>
          <w:rFonts w:eastAsia="Times New Roman"/>
          <w:sz w:val="24"/>
          <w:szCs w:val="24"/>
        </w:rPr>
        <w:t>gnificância considera atípica a conduta que causa lesões insignificantes ao bem jurídico tutelado.</w:t>
      </w:r>
    </w:p>
    <w:p w:rsidR="003F65BE" w:rsidRDefault="003F65BE">
      <w:pPr>
        <w:spacing w:line="15" w:lineRule="exact"/>
        <w:rPr>
          <w:sz w:val="20"/>
          <w:szCs w:val="20"/>
        </w:rPr>
      </w:pPr>
    </w:p>
    <w:p w:rsidR="003F65BE" w:rsidRDefault="00CD6827">
      <w:pPr>
        <w:spacing w:line="358" w:lineRule="auto"/>
        <w:ind w:left="260" w:right="20" w:firstLine="1133"/>
        <w:jc w:val="both"/>
        <w:rPr>
          <w:sz w:val="20"/>
          <w:szCs w:val="20"/>
        </w:rPr>
      </w:pPr>
      <w:r>
        <w:rPr>
          <w:rFonts w:eastAsia="Times New Roman"/>
          <w:sz w:val="24"/>
          <w:szCs w:val="24"/>
        </w:rPr>
        <w:t xml:space="preserve">Os princípios como razões para regras, consoante à lição de Fredie Didier Júnior (2011, p. 109), são os princípios, as razões, critérios e fundamentos para </w:t>
      </w:r>
      <w:r>
        <w:rPr>
          <w:rFonts w:eastAsia="Times New Roman"/>
          <w:sz w:val="24"/>
          <w:szCs w:val="24"/>
        </w:rPr>
        <w:t>as regras, os princípios não são determinativos como as regras. As regras é que são frutos da determinação dos princípios na medida em que estes externam a maneira do dever ser, decorrente da aplicação de uma lei prevista no arcabouço jurídico, decorrência</w:t>
      </w:r>
      <w:r>
        <w:rPr>
          <w:rFonts w:eastAsia="Times New Roman"/>
          <w:sz w:val="24"/>
          <w:szCs w:val="24"/>
        </w:rPr>
        <w:t xml:space="preserve"> da contradição entre os princípios.</w:t>
      </w:r>
    </w:p>
    <w:p w:rsidR="003F65BE" w:rsidRDefault="003F65BE">
      <w:pPr>
        <w:spacing w:line="14" w:lineRule="exact"/>
        <w:rPr>
          <w:sz w:val="20"/>
          <w:szCs w:val="20"/>
        </w:rPr>
      </w:pPr>
    </w:p>
    <w:p w:rsidR="003F65BE" w:rsidRDefault="00CD6827">
      <w:pPr>
        <w:numPr>
          <w:ilvl w:val="0"/>
          <w:numId w:val="9"/>
        </w:numPr>
        <w:tabs>
          <w:tab w:val="left" w:pos="1676"/>
        </w:tabs>
        <w:spacing w:line="358" w:lineRule="auto"/>
        <w:ind w:left="260" w:firstLine="1135"/>
        <w:jc w:val="both"/>
        <w:rPr>
          <w:rFonts w:eastAsia="Times New Roman"/>
          <w:sz w:val="24"/>
          <w:szCs w:val="24"/>
        </w:rPr>
      </w:pPr>
      <w:r>
        <w:rPr>
          <w:rFonts w:eastAsia="Times New Roman"/>
          <w:sz w:val="24"/>
          <w:szCs w:val="24"/>
        </w:rPr>
        <w:t>também de suma importância distinguir o modo como se solucionam os eventuais conflitos entre princípios e regras. Segundo Gonçalves (2012, p. 81) o possível conflito entre princípios se exige uma solução mais que conci</w:t>
      </w:r>
      <w:r>
        <w:rPr>
          <w:rFonts w:eastAsia="Times New Roman"/>
          <w:sz w:val="24"/>
          <w:szCs w:val="24"/>
        </w:rPr>
        <w:t>liadora, passo a passo, em parcelas, onde o intérprete se vale do caráter de ponderação de acordo com o caso concreto. Já o conflito entre regras impõe ao intérprete uma solução de tudo ou nada, ao passo que se aplicada uma determinada regra, se invalida a</w:t>
      </w:r>
      <w:r>
        <w:rPr>
          <w:rFonts w:eastAsia="Times New Roman"/>
          <w:sz w:val="24"/>
          <w:szCs w:val="24"/>
        </w:rPr>
        <w:t xml:space="preserve"> outra.</w:t>
      </w:r>
    </w:p>
    <w:p w:rsidR="003F65BE" w:rsidRDefault="003F65BE">
      <w:pPr>
        <w:spacing w:line="14" w:lineRule="exact"/>
        <w:rPr>
          <w:rFonts w:eastAsia="Times New Roman"/>
          <w:sz w:val="24"/>
          <w:szCs w:val="24"/>
        </w:rPr>
      </w:pPr>
    </w:p>
    <w:p w:rsidR="003F65BE" w:rsidRDefault="00CD6827">
      <w:pPr>
        <w:spacing w:line="354" w:lineRule="auto"/>
        <w:ind w:left="260" w:firstLine="1133"/>
        <w:jc w:val="both"/>
        <w:rPr>
          <w:rFonts w:eastAsia="Times New Roman"/>
          <w:sz w:val="24"/>
          <w:szCs w:val="24"/>
        </w:rPr>
      </w:pPr>
      <w:r>
        <w:rPr>
          <w:rFonts w:eastAsia="Times New Roman"/>
          <w:sz w:val="24"/>
          <w:szCs w:val="24"/>
        </w:rPr>
        <w:t xml:space="preserve">Sobre conflito de princípios, o doutrinado Fredie Didier Jr. (2011, p. 108), disse que estes se resolvem na </w:t>
      </w:r>
      <w:r>
        <w:rPr>
          <w:rFonts w:eastAsia="Times New Roman"/>
          <w:i/>
          <w:iCs/>
          <w:sz w:val="24"/>
          <w:szCs w:val="24"/>
        </w:rPr>
        <w:t>“dimensão do peso”</w:t>
      </w:r>
      <w:r>
        <w:rPr>
          <w:rFonts w:eastAsia="Times New Roman"/>
          <w:sz w:val="24"/>
          <w:szCs w:val="24"/>
        </w:rPr>
        <w:t xml:space="preserve"> enquanto as regras se resolvem na </w:t>
      </w:r>
      <w:r>
        <w:rPr>
          <w:rFonts w:eastAsia="Times New Roman"/>
          <w:i/>
          <w:iCs/>
          <w:sz w:val="24"/>
          <w:szCs w:val="24"/>
        </w:rPr>
        <w:t>“dimensão</w:t>
      </w:r>
      <w:r>
        <w:rPr>
          <w:rFonts w:eastAsia="Times New Roman"/>
          <w:sz w:val="24"/>
          <w:szCs w:val="24"/>
        </w:rPr>
        <w:t xml:space="preserve"> </w:t>
      </w:r>
      <w:r>
        <w:rPr>
          <w:rFonts w:eastAsia="Times New Roman"/>
          <w:i/>
          <w:iCs/>
          <w:sz w:val="24"/>
          <w:szCs w:val="24"/>
        </w:rPr>
        <w:t>da validade”</w:t>
      </w:r>
      <w:r>
        <w:rPr>
          <w:rFonts w:eastAsia="Times New Roman"/>
          <w:sz w:val="24"/>
          <w:szCs w:val="24"/>
        </w:rPr>
        <w:t>. Veja o que o doutrinador assevera:</w:t>
      </w:r>
    </w:p>
    <w:p w:rsidR="003F65BE" w:rsidRDefault="003F65BE">
      <w:pPr>
        <w:spacing w:line="18" w:lineRule="exact"/>
        <w:rPr>
          <w:sz w:val="20"/>
          <w:szCs w:val="20"/>
        </w:rPr>
      </w:pPr>
    </w:p>
    <w:p w:rsidR="003F65BE" w:rsidRDefault="00CD6827">
      <w:pPr>
        <w:spacing w:line="238" w:lineRule="auto"/>
        <w:ind w:left="2540"/>
        <w:jc w:val="both"/>
        <w:rPr>
          <w:sz w:val="20"/>
          <w:szCs w:val="20"/>
        </w:rPr>
      </w:pPr>
      <w:r>
        <w:rPr>
          <w:rFonts w:eastAsia="Times New Roman"/>
          <w:sz w:val="20"/>
          <w:szCs w:val="20"/>
        </w:rPr>
        <w:t xml:space="preserve">... quando uma regra predispuser uma exceção a outra: nesses casos, ambas irão permanecer válidas. Já na solução da colisão entre os princípios teremos a formulação de uma </w:t>
      </w:r>
      <w:r>
        <w:rPr>
          <w:rFonts w:eastAsia="Times New Roman"/>
          <w:i/>
          <w:iCs/>
          <w:sz w:val="20"/>
          <w:szCs w:val="20"/>
        </w:rPr>
        <w:t>lei de colisão</w:t>
      </w:r>
      <w:r>
        <w:rPr>
          <w:rFonts w:eastAsia="Times New Roman"/>
          <w:sz w:val="20"/>
          <w:szCs w:val="20"/>
        </w:rPr>
        <w:t xml:space="preserve"> para o caso concreto, segundo a qual as condições abaixo das quais um</w:t>
      </w:r>
      <w:r>
        <w:rPr>
          <w:rFonts w:eastAsia="Times New Roman"/>
          <w:sz w:val="20"/>
          <w:szCs w:val="20"/>
        </w:rPr>
        <w:t xml:space="preserve"> princípio precede ao outro constituem o </w:t>
      </w:r>
      <w:r>
        <w:rPr>
          <w:rFonts w:eastAsia="Times New Roman"/>
          <w:i/>
          <w:iCs/>
          <w:sz w:val="20"/>
          <w:szCs w:val="20"/>
        </w:rPr>
        <w:t>suposto de fato</w:t>
      </w:r>
      <w:r>
        <w:rPr>
          <w:rFonts w:eastAsia="Times New Roman"/>
          <w:sz w:val="20"/>
          <w:szCs w:val="20"/>
        </w:rPr>
        <w:t xml:space="preserve"> de uma regra que expressa a consequência jurídica do princípio precedente, ... que o resultado da ponderação se apresenta como norma de direito fundamental atribuída ao caso.</w:t>
      </w:r>
    </w:p>
    <w:p w:rsidR="003F65BE" w:rsidRDefault="003F65BE">
      <w:pPr>
        <w:sectPr w:rsidR="003F65BE">
          <w:pgSz w:w="11900" w:h="16838"/>
          <w:pgMar w:top="699" w:right="1126" w:bottom="1440" w:left="1440" w:header="0" w:footer="0" w:gutter="0"/>
          <w:cols w:space="720" w:equalWidth="0">
            <w:col w:w="9340"/>
          </w:cols>
        </w:sectPr>
      </w:pPr>
    </w:p>
    <w:p w:rsidR="003F65BE" w:rsidRDefault="00CD6827">
      <w:pPr>
        <w:ind w:left="9120"/>
        <w:rPr>
          <w:sz w:val="20"/>
          <w:szCs w:val="20"/>
        </w:rPr>
      </w:pPr>
      <w:r>
        <w:rPr>
          <w:rFonts w:ascii="Calibri" w:eastAsia="Calibri" w:hAnsi="Calibri" w:cs="Calibri"/>
          <w:sz w:val="21"/>
          <w:szCs w:val="21"/>
        </w:rPr>
        <w:lastRenderedPageBreak/>
        <w:t>21</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1" w:lineRule="exact"/>
        <w:rPr>
          <w:sz w:val="20"/>
          <w:szCs w:val="20"/>
        </w:rPr>
      </w:pPr>
    </w:p>
    <w:p w:rsidR="003F65BE" w:rsidRDefault="00CD6827">
      <w:pPr>
        <w:ind w:left="260"/>
        <w:rPr>
          <w:sz w:val="20"/>
          <w:szCs w:val="20"/>
        </w:rPr>
      </w:pPr>
      <w:r>
        <w:rPr>
          <w:rFonts w:eastAsia="Times New Roman"/>
          <w:b/>
          <w:bCs/>
          <w:sz w:val="24"/>
          <w:szCs w:val="24"/>
        </w:rPr>
        <w:t>2.1.1 Princípio da Dignidade da Pessoa Humana</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 xml:space="preserve">No ensinamento de Fernando Capez, em seu artigo Crimes contra a Dignidade Sexual: a Objetividade Jurídica (2010, p.25-26), que a sociedade evoluiu e passa a exigir de acordo com a Constituição Federal </w:t>
      </w:r>
      <w:r>
        <w:rPr>
          <w:rFonts w:eastAsia="Times New Roman"/>
          <w:sz w:val="24"/>
          <w:szCs w:val="24"/>
        </w:rPr>
        <w:t>de 1988, padrões essenciais à promoção da dignidade do indivíduo e não pode ser colocado em risco. Pode-se dizer que a dignidade da pessoa humana</w:t>
      </w:r>
    </w:p>
    <w:p w:rsidR="003F65BE" w:rsidRDefault="003F65BE">
      <w:pPr>
        <w:spacing w:line="19" w:lineRule="exact"/>
        <w:rPr>
          <w:sz w:val="20"/>
          <w:szCs w:val="20"/>
        </w:rPr>
      </w:pPr>
    </w:p>
    <w:p w:rsidR="003F65BE" w:rsidRDefault="00CD6827">
      <w:pPr>
        <w:numPr>
          <w:ilvl w:val="0"/>
          <w:numId w:val="10"/>
        </w:numPr>
        <w:tabs>
          <w:tab w:val="left" w:pos="500"/>
        </w:tabs>
        <w:spacing w:line="357" w:lineRule="auto"/>
        <w:ind w:left="260" w:firstLine="2"/>
        <w:jc w:val="both"/>
        <w:rPr>
          <w:rFonts w:eastAsia="Times New Roman"/>
          <w:sz w:val="24"/>
          <w:szCs w:val="24"/>
        </w:rPr>
      </w:pPr>
      <w:r>
        <w:rPr>
          <w:rFonts w:eastAsia="Times New Roman"/>
          <w:sz w:val="24"/>
          <w:szCs w:val="24"/>
        </w:rPr>
        <w:t>uma referencia dos direitos que visa garantir às pessoas maior conforto, evitando o sofrimento na vida social</w:t>
      </w:r>
      <w:r>
        <w:rPr>
          <w:rFonts w:eastAsia="Times New Roman"/>
          <w:sz w:val="24"/>
          <w:szCs w:val="24"/>
        </w:rPr>
        <w:t>. Segundo Prado (2005, p.143), o conceito da Dignidade da Pessoa Humana trata-se de reconhecer a todos as pessoas os seus direitos fundamentais, pelo fato de serem humanos.</w:t>
      </w:r>
    </w:p>
    <w:p w:rsidR="003F65BE" w:rsidRDefault="003F65BE">
      <w:pPr>
        <w:spacing w:line="14" w:lineRule="exact"/>
        <w:rPr>
          <w:rFonts w:eastAsia="Times New Roman"/>
          <w:sz w:val="24"/>
          <w:szCs w:val="24"/>
        </w:rPr>
      </w:pPr>
    </w:p>
    <w:p w:rsidR="003F65BE" w:rsidRDefault="00CD6827">
      <w:pPr>
        <w:spacing w:line="357" w:lineRule="auto"/>
        <w:ind w:left="260" w:firstLine="1133"/>
        <w:jc w:val="both"/>
        <w:rPr>
          <w:rFonts w:eastAsia="Times New Roman"/>
          <w:sz w:val="24"/>
          <w:szCs w:val="24"/>
        </w:rPr>
      </w:pPr>
      <w:r>
        <w:rPr>
          <w:rFonts w:eastAsia="Times New Roman"/>
          <w:sz w:val="24"/>
          <w:szCs w:val="24"/>
        </w:rPr>
        <w:t xml:space="preserve">Percebe-se no Estado Democrático de Direito, imposições como forma de garantir o </w:t>
      </w:r>
      <w:r>
        <w:rPr>
          <w:rFonts w:eastAsia="Times New Roman"/>
          <w:sz w:val="24"/>
          <w:szCs w:val="24"/>
        </w:rPr>
        <w:t>exercício dos direitos sociais e individuais, como o direito ao pluralismo político e liberdade de expressão, à cidadania, o povo como fonte de poder e principalmente aqueles ligados intimamente à dignidade da pessoa humana, conforme preceitua a Constituiç</w:t>
      </w:r>
      <w:r>
        <w:rPr>
          <w:rFonts w:eastAsia="Times New Roman"/>
          <w:sz w:val="24"/>
          <w:szCs w:val="24"/>
        </w:rPr>
        <w:t>ão Federal de 1988, em seu artigo 1º, inciso III:</w:t>
      </w:r>
    </w:p>
    <w:p w:rsidR="003F65BE" w:rsidRDefault="003F65BE">
      <w:pPr>
        <w:spacing w:line="6" w:lineRule="exact"/>
        <w:rPr>
          <w:sz w:val="20"/>
          <w:szCs w:val="20"/>
        </w:rPr>
      </w:pPr>
    </w:p>
    <w:p w:rsidR="003F65BE" w:rsidRDefault="00CD6827">
      <w:pPr>
        <w:ind w:left="2540"/>
        <w:rPr>
          <w:sz w:val="20"/>
          <w:szCs w:val="20"/>
        </w:rPr>
      </w:pPr>
      <w:r>
        <w:rPr>
          <w:rFonts w:eastAsia="Times New Roman"/>
          <w:sz w:val="20"/>
          <w:szCs w:val="20"/>
        </w:rPr>
        <w:t>Art.  1º  A República  Federativa  do  Brasil,  formada  pela  união  indissolúvel  dos</w:t>
      </w:r>
    </w:p>
    <w:p w:rsidR="003F65BE" w:rsidRDefault="00CD6827">
      <w:pPr>
        <w:spacing w:line="237" w:lineRule="auto"/>
        <w:ind w:left="2540"/>
        <w:rPr>
          <w:sz w:val="20"/>
          <w:szCs w:val="20"/>
        </w:rPr>
      </w:pPr>
      <w:r>
        <w:rPr>
          <w:rFonts w:eastAsia="Times New Roman"/>
          <w:sz w:val="20"/>
          <w:szCs w:val="20"/>
        </w:rPr>
        <w:t>Estados e Municípios e do Distrito Federal, constitui-se em Estado Democrático de</w:t>
      </w:r>
    </w:p>
    <w:p w:rsidR="003F65BE" w:rsidRDefault="003F65BE">
      <w:pPr>
        <w:spacing w:line="2" w:lineRule="exact"/>
        <w:rPr>
          <w:sz w:val="20"/>
          <w:szCs w:val="20"/>
        </w:rPr>
      </w:pPr>
    </w:p>
    <w:p w:rsidR="003F65BE" w:rsidRDefault="00CD6827">
      <w:pPr>
        <w:ind w:left="2540"/>
        <w:rPr>
          <w:sz w:val="20"/>
          <w:szCs w:val="20"/>
        </w:rPr>
      </w:pPr>
      <w:r>
        <w:rPr>
          <w:rFonts w:eastAsia="Times New Roman"/>
          <w:sz w:val="20"/>
          <w:szCs w:val="20"/>
        </w:rPr>
        <w:t>Direito e tem como fundamentos:</w:t>
      </w:r>
    </w:p>
    <w:p w:rsidR="003F65BE" w:rsidRDefault="00CD6827">
      <w:pPr>
        <w:ind w:left="2540"/>
        <w:rPr>
          <w:sz w:val="20"/>
          <w:szCs w:val="20"/>
        </w:rPr>
      </w:pPr>
      <w:r>
        <w:rPr>
          <w:rFonts w:eastAsia="Times New Roman"/>
          <w:sz w:val="20"/>
          <w:szCs w:val="20"/>
        </w:rPr>
        <w:t xml:space="preserve">I </w:t>
      </w:r>
      <w:r>
        <w:rPr>
          <w:rFonts w:eastAsia="Times New Roman"/>
          <w:sz w:val="20"/>
          <w:szCs w:val="20"/>
        </w:rPr>
        <w:t>- a soberania;</w:t>
      </w:r>
    </w:p>
    <w:p w:rsidR="003F65BE" w:rsidRDefault="00CD6827">
      <w:pPr>
        <w:ind w:left="2540"/>
        <w:rPr>
          <w:sz w:val="20"/>
          <w:szCs w:val="20"/>
        </w:rPr>
      </w:pPr>
      <w:r>
        <w:rPr>
          <w:rFonts w:eastAsia="Times New Roman"/>
          <w:sz w:val="20"/>
          <w:szCs w:val="20"/>
        </w:rPr>
        <w:t>II - a cidadania;</w:t>
      </w:r>
    </w:p>
    <w:p w:rsidR="003F65BE" w:rsidRDefault="003F65BE">
      <w:pPr>
        <w:spacing w:line="5" w:lineRule="exact"/>
        <w:rPr>
          <w:sz w:val="20"/>
          <w:szCs w:val="20"/>
        </w:rPr>
      </w:pPr>
    </w:p>
    <w:p w:rsidR="003F65BE" w:rsidRDefault="00CD6827">
      <w:pPr>
        <w:ind w:left="2540"/>
        <w:rPr>
          <w:sz w:val="20"/>
          <w:szCs w:val="20"/>
        </w:rPr>
      </w:pPr>
      <w:r>
        <w:rPr>
          <w:rFonts w:eastAsia="Times New Roman"/>
          <w:b/>
          <w:bCs/>
          <w:sz w:val="20"/>
          <w:szCs w:val="20"/>
        </w:rPr>
        <w:t>III - a dignidade da pessoa humana;</w:t>
      </w:r>
    </w:p>
    <w:p w:rsidR="003F65BE" w:rsidRDefault="00CD6827">
      <w:pPr>
        <w:spacing w:line="232" w:lineRule="auto"/>
        <w:ind w:left="2540"/>
        <w:rPr>
          <w:sz w:val="20"/>
          <w:szCs w:val="20"/>
        </w:rPr>
      </w:pPr>
      <w:r>
        <w:rPr>
          <w:rFonts w:eastAsia="Times New Roman"/>
          <w:sz w:val="20"/>
          <w:szCs w:val="20"/>
        </w:rPr>
        <w:t>IV - os valores sociais do trabalho e da livre iniciativa;</w:t>
      </w:r>
    </w:p>
    <w:p w:rsidR="003F65BE" w:rsidRDefault="003F65BE">
      <w:pPr>
        <w:spacing w:line="1" w:lineRule="exact"/>
        <w:rPr>
          <w:sz w:val="20"/>
          <w:szCs w:val="20"/>
        </w:rPr>
      </w:pPr>
    </w:p>
    <w:p w:rsidR="003F65BE" w:rsidRDefault="00CD6827">
      <w:pPr>
        <w:ind w:left="2540"/>
        <w:rPr>
          <w:sz w:val="20"/>
          <w:szCs w:val="20"/>
        </w:rPr>
      </w:pPr>
      <w:r>
        <w:rPr>
          <w:rFonts w:eastAsia="Times New Roman"/>
          <w:sz w:val="20"/>
          <w:szCs w:val="20"/>
        </w:rPr>
        <w:t>V - o pluralismo político. (</w:t>
      </w:r>
      <w:r>
        <w:rPr>
          <w:rFonts w:eastAsia="Times New Roman"/>
          <w:b/>
          <w:bCs/>
          <w:sz w:val="20"/>
          <w:szCs w:val="20"/>
        </w:rPr>
        <w:t>grifo nosso</w:t>
      </w:r>
      <w:r>
        <w:rPr>
          <w:rFonts w:eastAsia="Times New Roman"/>
          <w:sz w:val="20"/>
          <w:szCs w:val="20"/>
        </w:rPr>
        <w:t>)</w:t>
      </w:r>
    </w:p>
    <w:p w:rsidR="003F65BE" w:rsidRDefault="003F65BE">
      <w:pPr>
        <w:spacing w:line="359" w:lineRule="exact"/>
        <w:rPr>
          <w:sz w:val="20"/>
          <w:szCs w:val="20"/>
        </w:rPr>
      </w:pPr>
    </w:p>
    <w:p w:rsidR="003F65BE" w:rsidRDefault="00CD6827">
      <w:pPr>
        <w:spacing w:line="348" w:lineRule="auto"/>
        <w:ind w:left="260" w:firstLine="1133"/>
        <w:rPr>
          <w:sz w:val="20"/>
          <w:szCs w:val="20"/>
        </w:rPr>
      </w:pPr>
      <w:r>
        <w:rPr>
          <w:rFonts w:eastAsia="Times New Roman"/>
          <w:sz w:val="24"/>
          <w:szCs w:val="24"/>
        </w:rPr>
        <w:t>A propósito, a Convenção Americana sobre Direitos Humanos (Pacto de São José da Cost</w:t>
      </w:r>
      <w:r>
        <w:rPr>
          <w:rFonts w:eastAsia="Times New Roman"/>
          <w:sz w:val="24"/>
          <w:szCs w:val="24"/>
        </w:rPr>
        <w:t>a Rica), de 1969, assim preceitua o artigo 11:</w:t>
      </w:r>
    </w:p>
    <w:p w:rsidR="003F65BE" w:rsidRDefault="003F65BE">
      <w:pPr>
        <w:spacing w:line="15" w:lineRule="exact"/>
        <w:rPr>
          <w:sz w:val="20"/>
          <w:szCs w:val="20"/>
        </w:rPr>
      </w:pPr>
    </w:p>
    <w:p w:rsidR="003F65BE" w:rsidRDefault="00CD6827">
      <w:pPr>
        <w:ind w:left="2540"/>
        <w:rPr>
          <w:sz w:val="20"/>
          <w:szCs w:val="20"/>
        </w:rPr>
      </w:pPr>
      <w:r>
        <w:rPr>
          <w:rFonts w:eastAsia="Times New Roman"/>
          <w:sz w:val="20"/>
          <w:szCs w:val="20"/>
        </w:rPr>
        <w:t>Artigo 11 - Proteção da honra e da dignidade</w:t>
      </w:r>
    </w:p>
    <w:p w:rsidR="003F65BE" w:rsidRDefault="003F65BE">
      <w:pPr>
        <w:spacing w:line="11" w:lineRule="exact"/>
        <w:rPr>
          <w:sz w:val="20"/>
          <w:szCs w:val="20"/>
        </w:rPr>
      </w:pPr>
    </w:p>
    <w:p w:rsidR="003F65BE" w:rsidRDefault="00CD6827">
      <w:pPr>
        <w:numPr>
          <w:ilvl w:val="0"/>
          <w:numId w:val="11"/>
        </w:numPr>
        <w:tabs>
          <w:tab w:val="left" w:pos="2770"/>
        </w:tabs>
        <w:spacing w:line="233" w:lineRule="auto"/>
        <w:ind w:left="2540" w:right="20" w:hanging="9"/>
        <w:rPr>
          <w:rFonts w:eastAsia="Times New Roman"/>
          <w:sz w:val="20"/>
          <w:szCs w:val="20"/>
        </w:rPr>
      </w:pPr>
      <w:r>
        <w:rPr>
          <w:rFonts w:eastAsia="Times New Roman"/>
          <w:sz w:val="20"/>
          <w:szCs w:val="20"/>
        </w:rPr>
        <w:t>Toda pessoa tem direito ao respeito da sua honra e ao reconhecimento de sua dignidade.</w:t>
      </w:r>
    </w:p>
    <w:p w:rsidR="003F65BE" w:rsidRDefault="003F65BE">
      <w:pPr>
        <w:spacing w:line="11" w:lineRule="exact"/>
        <w:rPr>
          <w:rFonts w:eastAsia="Times New Roman"/>
          <w:sz w:val="20"/>
          <w:szCs w:val="20"/>
        </w:rPr>
      </w:pPr>
    </w:p>
    <w:p w:rsidR="003F65BE" w:rsidRDefault="00CD6827">
      <w:pPr>
        <w:numPr>
          <w:ilvl w:val="0"/>
          <w:numId w:val="11"/>
        </w:numPr>
        <w:tabs>
          <w:tab w:val="left" w:pos="2784"/>
        </w:tabs>
        <w:spacing w:line="236" w:lineRule="auto"/>
        <w:ind w:left="2540" w:right="20" w:hanging="9"/>
        <w:jc w:val="both"/>
        <w:rPr>
          <w:rFonts w:eastAsia="Times New Roman"/>
          <w:sz w:val="20"/>
          <w:szCs w:val="20"/>
        </w:rPr>
      </w:pPr>
      <w:r>
        <w:rPr>
          <w:rFonts w:eastAsia="Times New Roman"/>
          <w:sz w:val="20"/>
          <w:szCs w:val="20"/>
        </w:rPr>
        <w:t>Ninguém pode ser objeto de ingerências arbitrárias ou abusivas em sua vida</w:t>
      </w:r>
      <w:r>
        <w:rPr>
          <w:rFonts w:eastAsia="Times New Roman"/>
          <w:sz w:val="20"/>
          <w:szCs w:val="20"/>
        </w:rPr>
        <w:t xml:space="preserve"> privada, em sua família, em seu domicílio ou em sua correspondência, nem de ofensas ilegais à sua honra ou reputação.</w:t>
      </w:r>
    </w:p>
    <w:p w:rsidR="003F65BE" w:rsidRDefault="003F65BE">
      <w:pPr>
        <w:spacing w:line="2" w:lineRule="exact"/>
        <w:rPr>
          <w:rFonts w:eastAsia="Times New Roman"/>
          <w:sz w:val="20"/>
          <w:szCs w:val="20"/>
        </w:rPr>
      </w:pPr>
    </w:p>
    <w:p w:rsidR="003F65BE" w:rsidRDefault="00CD6827">
      <w:pPr>
        <w:numPr>
          <w:ilvl w:val="0"/>
          <w:numId w:val="11"/>
        </w:numPr>
        <w:tabs>
          <w:tab w:val="left" w:pos="2720"/>
        </w:tabs>
        <w:ind w:left="2720" w:hanging="189"/>
        <w:rPr>
          <w:rFonts w:eastAsia="Times New Roman"/>
          <w:sz w:val="20"/>
          <w:szCs w:val="20"/>
        </w:rPr>
      </w:pPr>
      <w:r>
        <w:rPr>
          <w:rFonts w:eastAsia="Times New Roman"/>
          <w:sz w:val="20"/>
          <w:szCs w:val="20"/>
        </w:rPr>
        <w:t>Toda pessoa tem direito à proteção da lei contra tais ingerências ou tais ofensas.</w:t>
      </w:r>
    </w:p>
    <w:p w:rsidR="003F65BE" w:rsidRDefault="003F65BE">
      <w:pPr>
        <w:spacing w:line="356" w:lineRule="exact"/>
        <w:rPr>
          <w:sz w:val="20"/>
          <w:szCs w:val="20"/>
        </w:rPr>
      </w:pPr>
    </w:p>
    <w:p w:rsidR="003F65BE" w:rsidRDefault="00CD6827">
      <w:pPr>
        <w:spacing w:line="356" w:lineRule="auto"/>
        <w:ind w:left="260" w:right="20" w:firstLine="1133"/>
        <w:jc w:val="both"/>
        <w:rPr>
          <w:sz w:val="20"/>
          <w:szCs w:val="20"/>
        </w:rPr>
      </w:pPr>
      <w:r>
        <w:rPr>
          <w:rFonts w:eastAsia="Times New Roman"/>
          <w:sz w:val="24"/>
          <w:szCs w:val="24"/>
        </w:rPr>
        <w:t>Desta feita, a dignidade sexual consiste diretamente</w:t>
      </w:r>
      <w:r>
        <w:rPr>
          <w:rFonts w:eastAsia="Times New Roman"/>
          <w:sz w:val="24"/>
          <w:szCs w:val="24"/>
        </w:rPr>
        <w:t xml:space="preserve"> na liberdade de autodeterminação sexual da pessoa, a liberdade sexual como forma de proteção de sua integridade física, tanto na sua vida como sua honra, como valor universal inerente a dignidade da pessoa humana.</w:t>
      </w:r>
    </w:p>
    <w:p w:rsidR="003F65BE" w:rsidRDefault="003F65BE">
      <w:pPr>
        <w:spacing w:line="18" w:lineRule="exact"/>
        <w:rPr>
          <w:sz w:val="20"/>
          <w:szCs w:val="20"/>
        </w:rPr>
      </w:pPr>
    </w:p>
    <w:p w:rsidR="003F65BE" w:rsidRDefault="00CD6827">
      <w:pPr>
        <w:spacing w:line="350" w:lineRule="auto"/>
        <w:ind w:left="260" w:firstLine="1133"/>
        <w:jc w:val="both"/>
        <w:rPr>
          <w:sz w:val="20"/>
          <w:szCs w:val="20"/>
        </w:rPr>
      </w:pPr>
      <w:r>
        <w:rPr>
          <w:rFonts w:eastAsia="Times New Roman"/>
          <w:sz w:val="24"/>
          <w:szCs w:val="24"/>
        </w:rPr>
        <w:t>Igualmente, foi postulado no Direito Int</w:t>
      </w:r>
      <w:r>
        <w:rPr>
          <w:rFonts w:eastAsia="Times New Roman"/>
          <w:sz w:val="24"/>
          <w:szCs w:val="24"/>
        </w:rPr>
        <w:t>ernacional, especialmente na Declaração Universal dos Direitos do Homem, de 1948, de 1948, Artigo 22:</w:t>
      </w:r>
    </w:p>
    <w:p w:rsidR="003F65BE" w:rsidRDefault="003F65BE">
      <w:pPr>
        <w:sectPr w:rsidR="003F65BE">
          <w:pgSz w:w="11900" w:h="16838"/>
          <w:pgMar w:top="712" w:right="1126" w:bottom="515"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22</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6" w:lineRule="exact"/>
        <w:rPr>
          <w:sz w:val="20"/>
          <w:szCs w:val="20"/>
        </w:rPr>
      </w:pPr>
    </w:p>
    <w:p w:rsidR="003F65BE" w:rsidRDefault="00CD6827">
      <w:pPr>
        <w:spacing w:line="236" w:lineRule="auto"/>
        <w:ind w:left="2540" w:right="20"/>
        <w:jc w:val="both"/>
        <w:rPr>
          <w:sz w:val="20"/>
          <w:szCs w:val="20"/>
        </w:rPr>
      </w:pPr>
      <w:r>
        <w:rPr>
          <w:rFonts w:eastAsia="Times New Roman"/>
          <w:sz w:val="20"/>
          <w:szCs w:val="20"/>
        </w:rPr>
        <w:t xml:space="preserve">Todo o homem, como membro da sociedade, tem direito à segurança social e à realização, pelo esforço nacional, pela cooperação </w:t>
      </w:r>
      <w:r>
        <w:rPr>
          <w:rFonts w:eastAsia="Times New Roman"/>
          <w:sz w:val="20"/>
          <w:szCs w:val="20"/>
        </w:rPr>
        <w:t>internacional e de acordo com a organização e recursos de cada Estado, dos direitos econômicos, sociais e culturais indispensáveis à sua dignidade e ao livre desenvolvimento de sua personalidade.</w:t>
      </w:r>
    </w:p>
    <w:p w:rsidR="003F65BE" w:rsidRDefault="003F65BE">
      <w:pPr>
        <w:spacing w:line="247"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Ainda no campo da Constituição, nota-se a expressão das gar</w:t>
      </w:r>
      <w:r>
        <w:rPr>
          <w:rFonts w:eastAsia="Times New Roman"/>
          <w:sz w:val="24"/>
          <w:szCs w:val="24"/>
        </w:rPr>
        <w:t>antias individuais, resultado de lutas e abusos no árduo caminho do reconhecimento de liberdades, até se alcançar a promulgação desse texto.</w:t>
      </w:r>
    </w:p>
    <w:p w:rsidR="003F65BE" w:rsidRDefault="003F65BE">
      <w:pPr>
        <w:spacing w:line="20"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No artigo 226, §7º, CF/88, foi dada ênfase à família, como forma de garantir a dignidade da pessoa humana. Igualme</w:t>
      </w:r>
      <w:r>
        <w:rPr>
          <w:rFonts w:eastAsia="Times New Roman"/>
          <w:sz w:val="24"/>
          <w:szCs w:val="24"/>
        </w:rPr>
        <w:t>nte, a CF/88, traz ainda em seu bojo outros direitos intimamente ligados à dignidade da pessoa humana.</w:t>
      </w:r>
    </w:p>
    <w:p w:rsidR="003F65BE" w:rsidRDefault="003F65BE">
      <w:pPr>
        <w:spacing w:line="23" w:lineRule="exact"/>
        <w:rPr>
          <w:sz w:val="20"/>
          <w:szCs w:val="20"/>
        </w:rPr>
      </w:pPr>
    </w:p>
    <w:p w:rsidR="003F65BE" w:rsidRDefault="00CD6827">
      <w:pPr>
        <w:spacing w:line="354" w:lineRule="auto"/>
        <w:ind w:left="260" w:right="20" w:firstLine="1133"/>
        <w:jc w:val="both"/>
        <w:rPr>
          <w:sz w:val="20"/>
          <w:szCs w:val="20"/>
        </w:rPr>
      </w:pPr>
      <w:r>
        <w:rPr>
          <w:rFonts w:eastAsia="Times New Roman"/>
          <w:sz w:val="24"/>
          <w:szCs w:val="24"/>
        </w:rPr>
        <w:t xml:space="preserve">Artigo 3º, inciso III e o artigo 23, inciso X, apresentado como “dos objetivos fundamentais”, o responsável pela afirmação da “erradicação da pobreza e </w:t>
      </w:r>
      <w:r>
        <w:rPr>
          <w:rFonts w:eastAsia="Times New Roman"/>
          <w:sz w:val="24"/>
          <w:szCs w:val="24"/>
        </w:rPr>
        <w:t>das desigualdades sociais”.</w:t>
      </w:r>
    </w:p>
    <w:p w:rsidR="003F65BE" w:rsidRDefault="003F65BE">
      <w:pPr>
        <w:spacing w:line="20"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 xml:space="preserve">A Constituição federal aponta em seu artigo 6º, o mínimo desejado a cada indivíduo: educação, saúde, trabalho, moradia, lazer, segurança, previdência social, a proteção à maternidade e à infância e a assistência aos </w:t>
      </w:r>
      <w:r>
        <w:rPr>
          <w:rFonts w:eastAsia="Times New Roman"/>
          <w:sz w:val="24"/>
          <w:szCs w:val="24"/>
        </w:rPr>
        <w:t>desamparados.</w:t>
      </w:r>
    </w:p>
    <w:p w:rsidR="003F65BE" w:rsidRDefault="003F65BE">
      <w:pPr>
        <w:spacing w:line="22"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Sobre a dignidade da pessoa humana no Estado Democrático de Direito, o STF faz menção a Constituição Federal, como forma de garantir os exercícios dos direitos sociais e individuais. A respeito, veja o comentário feito pela relatora Ministra</w:t>
      </w:r>
      <w:r>
        <w:rPr>
          <w:rFonts w:eastAsia="Times New Roman"/>
          <w:sz w:val="24"/>
          <w:szCs w:val="24"/>
        </w:rPr>
        <w:t xml:space="preserve"> Cármen Lúcia, no julgamento da ADI n° 2.649, sobre os valores supremos explícitos no preâmbulo da constituição, como princípio jurídico da solidariedade:</w:t>
      </w:r>
    </w:p>
    <w:p w:rsidR="003F65BE" w:rsidRDefault="003F65BE">
      <w:pPr>
        <w:spacing w:line="15" w:lineRule="exact"/>
        <w:rPr>
          <w:sz w:val="20"/>
          <w:szCs w:val="20"/>
        </w:rPr>
      </w:pPr>
    </w:p>
    <w:p w:rsidR="003F65BE" w:rsidRDefault="00CD6827">
      <w:pPr>
        <w:numPr>
          <w:ilvl w:val="0"/>
          <w:numId w:val="12"/>
        </w:numPr>
        <w:tabs>
          <w:tab w:val="left" w:pos="2799"/>
        </w:tabs>
        <w:spacing w:line="239" w:lineRule="auto"/>
        <w:ind w:left="2540" w:hanging="9"/>
        <w:jc w:val="both"/>
        <w:rPr>
          <w:rFonts w:eastAsia="Times New Roman"/>
          <w:sz w:val="20"/>
          <w:szCs w:val="20"/>
        </w:rPr>
      </w:pPr>
      <w:r>
        <w:rPr>
          <w:rFonts w:eastAsia="Times New Roman"/>
          <w:sz w:val="20"/>
          <w:szCs w:val="20"/>
        </w:rPr>
        <w:t>A busca de igualdade da oportunidade é possibilidade de humanização das relações sociais, uma das inegáveis tendências, da sociedade contemporânea, acolhida pelo sistema constitucional vigente, determina a adoção de políticas públicas que propiciem condiçõ</w:t>
      </w:r>
      <w:r>
        <w:rPr>
          <w:rFonts w:eastAsia="Times New Roman"/>
          <w:sz w:val="20"/>
          <w:szCs w:val="20"/>
        </w:rPr>
        <w:t xml:space="preserve">es para que se amenizem os efeitos das carências especiais e de seus portadores e toda a sociedade atue para os concluir no que seja compatível com suas condições. </w:t>
      </w:r>
      <w:r>
        <w:rPr>
          <w:rFonts w:eastAsia="Times New Roman"/>
          <w:b/>
          <w:bCs/>
          <w:sz w:val="20"/>
          <w:szCs w:val="20"/>
        </w:rPr>
        <w:t>(ADI 2.649, voto da Rel. Min. Cármen Lúcia,</w:t>
      </w:r>
      <w:r>
        <w:rPr>
          <w:rFonts w:eastAsia="Times New Roman"/>
          <w:sz w:val="20"/>
          <w:szCs w:val="20"/>
        </w:rPr>
        <w:t xml:space="preserve"> </w:t>
      </w:r>
      <w:r>
        <w:rPr>
          <w:rFonts w:eastAsia="Times New Roman"/>
          <w:b/>
          <w:bCs/>
          <w:sz w:val="20"/>
          <w:szCs w:val="20"/>
        </w:rPr>
        <w:t>julgamento em 8-5-2008, Plenário, DJE de 17-10-2</w:t>
      </w:r>
      <w:r>
        <w:rPr>
          <w:rFonts w:eastAsia="Times New Roman"/>
          <w:b/>
          <w:bCs/>
          <w:sz w:val="20"/>
          <w:szCs w:val="20"/>
        </w:rPr>
        <w:t>008).</w:t>
      </w:r>
    </w:p>
    <w:p w:rsidR="003F65BE" w:rsidRDefault="003F65BE">
      <w:pPr>
        <w:spacing w:line="355" w:lineRule="exact"/>
        <w:rPr>
          <w:sz w:val="20"/>
          <w:szCs w:val="20"/>
        </w:rPr>
      </w:pPr>
    </w:p>
    <w:p w:rsidR="003F65BE" w:rsidRDefault="00CD6827">
      <w:pPr>
        <w:spacing w:line="348" w:lineRule="auto"/>
        <w:ind w:left="260" w:right="20" w:firstLine="1133"/>
        <w:rPr>
          <w:sz w:val="20"/>
          <w:szCs w:val="20"/>
        </w:rPr>
      </w:pPr>
      <w:r>
        <w:rPr>
          <w:rFonts w:eastAsia="Times New Roman"/>
          <w:sz w:val="24"/>
          <w:szCs w:val="24"/>
        </w:rPr>
        <w:t>Deste modo, todos os direitos sociais acima citados estão intimamente ligados à dignidade da pessoa humana.</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9" w:lineRule="exact"/>
        <w:rPr>
          <w:sz w:val="20"/>
          <w:szCs w:val="20"/>
        </w:rPr>
      </w:pPr>
    </w:p>
    <w:p w:rsidR="003F65BE" w:rsidRDefault="00CD6827">
      <w:pPr>
        <w:ind w:left="260"/>
        <w:rPr>
          <w:sz w:val="20"/>
          <w:szCs w:val="20"/>
        </w:rPr>
      </w:pPr>
      <w:r>
        <w:rPr>
          <w:rFonts w:eastAsia="Times New Roman"/>
          <w:b/>
          <w:bCs/>
          <w:sz w:val="24"/>
          <w:szCs w:val="24"/>
        </w:rPr>
        <w:t>2.1.2 Princípio da Lesividade ou Ofensividade</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0" w:lineRule="auto"/>
        <w:ind w:left="260" w:firstLine="1133"/>
        <w:rPr>
          <w:sz w:val="20"/>
          <w:szCs w:val="20"/>
        </w:rPr>
      </w:pPr>
      <w:r>
        <w:rPr>
          <w:rFonts w:eastAsia="Times New Roman"/>
          <w:sz w:val="24"/>
          <w:szCs w:val="24"/>
        </w:rPr>
        <w:t xml:space="preserve">Em um ponto de visto moderno, adequar a realidade social ao princípio da lesividade ou </w:t>
      </w:r>
      <w:r>
        <w:rPr>
          <w:rFonts w:eastAsia="Times New Roman"/>
          <w:sz w:val="24"/>
          <w:szCs w:val="24"/>
        </w:rPr>
        <w:t xml:space="preserve">ofensividade torna-se importante na medida em que limita o poder </w:t>
      </w:r>
      <w:r>
        <w:rPr>
          <w:rFonts w:eastAsia="Times New Roman"/>
          <w:i/>
          <w:iCs/>
          <w:sz w:val="24"/>
          <w:szCs w:val="24"/>
        </w:rPr>
        <w:t>jus</w:t>
      </w:r>
    </w:p>
    <w:p w:rsidR="003F65BE" w:rsidRDefault="003F65BE">
      <w:pPr>
        <w:sectPr w:rsidR="003F65BE">
          <w:pgSz w:w="11900" w:h="16838"/>
          <w:pgMar w:top="699" w:right="1126" w:bottom="722"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23</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54" w:lineRule="auto"/>
        <w:ind w:left="260"/>
        <w:jc w:val="both"/>
        <w:rPr>
          <w:sz w:val="20"/>
          <w:szCs w:val="20"/>
        </w:rPr>
      </w:pPr>
      <w:r>
        <w:rPr>
          <w:rFonts w:eastAsia="Times New Roman"/>
          <w:i/>
          <w:iCs/>
          <w:sz w:val="24"/>
          <w:szCs w:val="24"/>
        </w:rPr>
        <w:t xml:space="preserve">puniendi </w:t>
      </w:r>
      <w:r>
        <w:rPr>
          <w:rFonts w:eastAsia="Times New Roman"/>
          <w:sz w:val="24"/>
          <w:szCs w:val="24"/>
        </w:rPr>
        <w:t>do Estado, devendo ser interpretado ao lado de outros importantes princípios, como</w:t>
      </w:r>
      <w:r>
        <w:rPr>
          <w:rFonts w:eastAsia="Times New Roman"/>
          <w:i/>
          <w:iCs/>
          <w:sz w:val="24"/>
          <w:szCs w:val="24"/>
        </w:rPr>
        <w:t xml:space="preserve"> </w:t>
      </w:r>
      <w:r>
        <w:rPr>
          <w:rFonts w:eastAsia="Times New Roman"/>
          <w:sz w:val="24"/>
          <w:szCs w:val="24"/>
        </w:rPr>
        <w:t xml:space="preserve">o da intervenção mínima, em busca de uma defesa justa bens </w:t>
      </w:r>
      <w:r>
        <w:rPr>
          <w:rFonts w:eastAsia="Times New Roman"/>
          <w:sz w:val="24"/>
          <w:szCs w:val="24"/>
        </w:rPr>
        <w:t>jurídicos tutelados em nosso ordenamento jurídico.</w:t>
      </w:r>
    </w:p>
    <w:p w:rsidR="003F65BE" w:rsidRDefault="003F65BE">
      <w:pPr>
        <w:spacing w:line="20"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De acordo com o princípio penal da lesividade ou da ofensividade, todo e qualquer delito deve lesar ou, ao menos, criar perigo de lesão a bens jurídicos, os quais podem ser definidos como material ou imat</w:t>
      </w:r>
      <w:r>
        <w:rPr>
          <w:rFonts w:eastAsia="Times New Roman"/>
          <w:sz w:val="24"/>
          <w:szCs w:val="24"/>
        </w:rPr>
        <w:t>erial no contexto social, de titularidade individual e essencial para a coexistência e o desenvolvimento do homem e, por isso, protegido juridicamente, diz o legislador Prado (2007, p. 257).</w:t>
      </w:r>
    </w:p>
    <w:p w:rsidR="003F65BE" w:rsidRDefault="003F65BE">
      <w:pPr>
        <w:spacing w:line="19" w:lineRule="exact"/>
        <w:rPr>
          <w:sz w:val="20"/>
          <w:szCs w:val="20"/>
        </w:rPr>
      </w:pPr>
    </w:p>
    <w:p w:rsidR="003F65BE" w:rsidRDefault="00CD6827">
      <w:pPr>
        <w:spacing w:line="348" w:lineRule="auto"/>
        <w:ind w:left="260" w:firstLine="1133"/>
        <w:jc w:val="both"/>
        <w:rPr>
          <w:sz w:val="20"/>
          <w:szCs w:val="20"/>
        </w:rPr>
      </w:pPr>
      <w:r>
        <w:rPr>
          <w:rFonts w:eastAsia="Times New Roman"/>
          <w:sz w:val="24"/>
          <w:szCs w:val="24"/>
        </w:rPr>
        <w:t>Nilo, apud Rogério Greco (2014, p. 55-56), o princípio da lesivi</w:t>
      </w:r>
      <w:r>
        <w:rPr>
          <w:rFonts w:eastAsia="Times New Roman"/>
          <w:sz w:val="24"/>
          <w:szCs w:val="24"/>
        </w:rPr>
        <w:t>dade tem quatro funções especiais, que teve sua origem a partir do iluminismo, as quais são:</w:t>
      </w:r>
    </w:p>
    <w:p w:rsidR="003F65BE" w:rsidRDefault="003F65BE">
      <w:pPr>
        <w:spacing w:line="16" w:lineRule="exact"/>
        <w:rPr>
          <w:sz w:val="20"/>
          <w:szCs w:val="20"/>
        </w:rPr>
      </w:pPr>
    </w:p>
    <w:p w:rsidR="003F65BE" w:rsidRDefault="00CD6827">
      <w:pPr>
        <w:numPr>
          <w:ilvl w:val="0"/>
          <w:numId w:val="13"/>
        </w:numPr>
        <w:tabs>
          <w:tab w:val="left" w:pos="2740"/>
        </w:tabs>
        <w:ind w:left="2740" w:hanging="209"/>
        <w:rPr>
          <w:rFonts w:eastAsia="Times New Roman"/>
          <w:sz w:val="20"/>
          <w:szCs w:val="20"/>
        </w:rPr>
      </w:pPr>
      <w:r>
        <w:rPr>
          <w:rFonts w:eastAsia="Times New Roman"/>
          <w:sz w:val="20"/>
          <w:szCs w:val="20"/>
        </w:rPr>
        <w:t>proibição de incriminar uma atitude interna;</w:t>
      </w:r>
    </w:p>
    <w:p w:rsidR="003F65BE" w:rsidRDefault="00CD6827">
      <w:pPr>
        <w:numPr>
          <w:ilvl w:val="0"/>
          <w:numId w:val="13"/>
        </w:numPr>
        <w:tabs>
          <w:tab w:val="left" w:pos="2740"/>
        </w:tabs>
        <w:spacing w:line="237" w:lineRule="auto"/>
        <w:ind w:left="2740" w:hanging="209"/>
        <w:rPr>
          <w:rFonts w:eastAsia="Times New Roman"/>
          <w:sz w:val="20"/>
          <w:szCs w:val="20"/>
        </w:rPr>
      </w:pPr>
      <w:r>
        <w:rPr>
          <w:rFonts w:eastAsia="Times New Roman"/>
          <w:sz w:val="20"/>
          <w:szCs w:val="20"/>
        </w:rPr>
        <w:t>proibição de incriminar conduta que não exceda o âmbito do autor;</w:t>
      </w:r>
    </w:p>
    <w:p w:rsidR="003F65BE" w:rsidRDefault="003F65BE">
      <w:pPr>
        <w:spacing w:line="1" w:lineRule="exact"/>
        <w:rPr>
          <w:rFonts w:eastAsia="Times New Roman"/>
          <w:sz w:val="20"/>
          <w:szCs w:val="20"/>
        </w:rPr>
      </w:pPr>
    </w:p>
    <w:p w:rsidR="003F65BE" w:rsidRDefault="00CD6827">
      <w:pPr>
        <w:numPr>
          <w:ilvl w:val="0"/>
          <w:numId w:val="13"/>
        </w:numPr>
        <w:tabs>
          <w:tab w:val="left" w:pos="2740"/>
        </w:tabs>
        <w:ind w:left="2740" w:hanging="209"/>
        <w:rPr>
          <w:rFonts w:eastAsia="Times New Roman"/>
          <w:sz w:val="20"/>
          <w:szCs w:val="20"/>
        </w:rPr>
      </w:pPr>
      <w:r>
        <w:rPr>
          <w:rFonts w:eastAsia="Times New Roman"/>
          <w:sz w:val="20"/>
          <w:szCs w:val="20"/>
        </w:rPr>
        <w:t>proibição de incriminar simples estados ou condiçõ</w:t>
      </w:r>
      <w:r>
        <w:rPr>
          <w:rFonts w:eastAsia="Times New Roman"/>
          <w:sz w:val="20"/>
          <w:szCs w:val="20"/>
        </w:rPr>
        <w:t>es existenciais;</w:t>
      </w:r>
    </w:p>
    <w:p w:rsidR="003F65BE" w:rsidRDefault="003F65BE">
      <w:pPr>
        <w:spacing w:line="11" w:lineRule="exact"/>
        <w:rPr>
          <w:rFonts w:eastAsia="Times New Roman"/>
          <w:sz w:val="20"/>
          <w:szCs w:val="20"/>
        </w:rPr>
      </w:pPr>
    </w:p>
    <w:p w:rsidR="003F65BE" w:rsidRDefault="00CD6827">
      <w:pPr>
        <w:numPr>
          <w:ilvl w:val="0"/>
          <w:numId w:val="13"/>
        </w:numPr>
        <w:tabs>
          <w:tab w:val="left" w:pos="2758"/>
        </w:tabs>
        <w:spacing w:line="234" w:lineRule="auto"/>
        <w:ind w:left="2540" w:right="660" w:hanging="9"/>
        <w:rPr>
          <w:rFonts w:eastAsia="Times New Roman"/>
          <w:sz w:val="20"/>
          <w:szCs w:val="20"/>
        </w:rPr>
      </w:pPr>
      <w:r>
        <w:rPr>
          <w:rFonts w:eastAsia="Times New Roman"/>
          <w:sz w:val="20"/>
          <w:szCs w:val="20"/>
        </w:rPr>
        <w:t>proibição de incriminar condutas desviantes que não afetem qualquer bem jurídico.</w:t>
      </w:r>
    </w:p>
    <w:p w:rsidR="003F65BE" w:rsidRDefault="003F65BE">
      <w:pPr>
        <w:spacing w:line="245"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 xml:space="preserve">Na primeira função, do princípio da lesividade o agente não pode ser condenado por conduta que apenas pensou, não saiu de seus sentimentos. Se tal </w:t>
      </w:r>
      <w:r>
        <w:rPr>
          <w:rFonts w:eastAsia="Times New Roman"/>
          <w:sz w:val="24"/>
          <w:szCs w:val="24"/>
        </w:rPr>
        <w:t>pensamento não exteriorizou e nem causou qualquer dano que seja a terceiros.</w:t>
      </w:r>
    </w:p>
    <w:p w:rsidR="003F65BE" w:rsidRDefault="003F65BE">
      <w:pPr>
        <w:spacing w:line="20" w:lineRule="exact"/>
        <w:rPr>
          <w:sz w:val="20"/>
          <w:szCs w:val="20"/>
        </w:rPr>
      </w:pPr>
    </w:p>
    <w:p w:rsidR="003F65BE" w:rsidRDefault="00CD6827">
      <w:pPr>
        <w:spacing w:line="354" w:lineRule="auto"/>
        <w:ind w:left="260" w:right="20" w:firstLine="1133"/>
        <w:jc w:val="both"/>
        <w:rPr>
          <w:sz w:val="20"/>
          <w:szCs w:val="20"/>
        </w:rPr>
      </w:pPr>
      <w:r>
        <w:rPr>
          <w:rFonts w:eastAsia="Times New Roman"/>
          <w:sz w:val="24"/>
          <w:szCs w:val="24"/>
        </w:rPr>
        <w:t>A segunda vertente, também não poderá punir a conduta do agente que não lesou bens de terceiros, lesões que excederam o âmbito do agente causador, como ocorre no caso da autolesã</w:t>
      </w:r>
      <w:r>
        <w:rPr>
          <w:rFonts w:eastAsia="Times New Roman"/>
          <w:sz w:val="24"/>
          <w:szCs w:val="24"/>
        </w:rPr>
        <w:t>o.</w:t>
      </w:r>
    </w:p>
    <w:p w:rsidR="003F65BE" w:rsidRDefault="003F65BE">
      <w:pPr>
        <w:spacing w:line="20" w:lineRule="exact"/>
        <w:rPr>
          <w:sz w:val="20"/>
          <w:szCs w:val="20"/>
        </w:rPr>
      </w:pPr>
    </w:p>
    <w:p w:rsidR="003F65BE" w:rsidRDefault="00CD6827">
      <w:pPr>
        <w:spacing w:line="350" w:lineRule="auto"/>
        <w:ind w:left="260" w:firstLine="1133"/>
        <w:jc w:val="both"/>
        <w:rPr>
          <w:sz w:val="20"/>
          <w:szCs w:val="20"/>
        </w:rPr>
      </w:pPr>
      <w:r>
        <w:rPr>
          <w:rFonts w:eastAsia="Times New Roman"/>
          <w:sz w:val="24"/>
          <w:szCs w:val="24"/>
        </w:rPr>
        <w:t>Na terceira, a função do princípio da lesividade será de impedir que o agente seja punido por aquilo que ele é, e não pelo dano causado a terceiro.</w:t>
      </w:r>
    </w:p>
    <w:p w:rsidR="003F65BE" w:rsidRDefault="003F65BE">
      <w:pPr>
        <w:spacing w:line="23"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Desta forma, percebe-se que o Direito Penal se encontra impossibilitado de atuar caso o bem jurídico da</w:t>
      </w:r>
      <w:r>
        <w:rPr>
          <w:rFonts w:eastAsia="Times New Roman"/>
          <w:sz w:val="24"/>
          <w:szCs w:val="24"/>
        </w:rPr>
        <w:t xml:space="preserve"> terceira pessoa não tenha sofrido um dano relevante. Não pode o Estado agir em face da intolerância da sociedade apenas.</w:t>
      </w:r>
    </w:p>
    <w:p w:rsidR="003F65BE" w:rsidRDefault="003F65BE">
      <w:pPr>
        <w:spacing w:line="22"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Nesse sentido, Rogério Greco (2014, p. 57) cita as lições de Mariano Silvestroni, em que a tolerância é o significado de que “as pess</w:t>
      </w:r>
      <w:r>
        <w:rPr>
          <w:rFonts w:eastAsia="Times New Roman"/>
          <w:sz w:val="24"/>
          <w:szCs w:val="24"/>
        </w:rPr>
        <w:t xml:space="preserve">oas têm direito de </w:t>
      </w:r>
      <w:r>
        <w:rPr>
          <w:rFonts w:eastAsia="Times New Roman"/>
          <w:i/>
          <w:iCs/>
          <w:sz w:val="24"/>
          <w:szCs w:val="24"/>
        </w:rPr>
        <w:t>ser, pensar, expressar-se</w:t>
      </w:r>
      <w:r>
        <w:rPr>
          <w:rFonts w:eastAsia="Times New Roman"/>
          <w:sz w:val="24"/>
          <w:szCs w:val="24"/>
        </w:rPr>
        <w:t xml:space="preserve"> e atuar livremente sem que sejam submetidas a restrições ou sanções que se fundem no mero fato do que se </w:t>
      </w:r>
      <w:r>
        <w:rPr>
          <w:rFonts w:eastAsia="Times New Roman"/>
          <w:i/>
          <w:iCs/>
          <w:sz w:val="24"/>
          <w:szCs w:val="24"/>
        </w:rPr>
        <w:t>é, se pensa, se expressa</w:t>
      </w:r>
      <w:r>
        <w:rPr>
          <w:rFonts w:eastAsia="Times New Roman"/>
          <w:sz w:val="24"/>
          <w:szCs w:val="24"/>
        </w:rPr>
        <w:t xml:space="preserve"> ou </w:t>
      </w:r>
      <w:r>
        <w:rPr>
          <w:rFonts w:eastAsia="Times New Roman"/>
          <w:i/>
          <w:iCs/>
          <w:sz w:val="24"/>
          <w:szCs w:val="24"/>
        </w:rPr>
        <w:t>se faz”,</w:t>
      </w:r>
      <w:r>
        <w:rPr>
          <w:rFonts w:eastAsia="Times New Roman"/>
          <w:sz w:val="24"/>
          <w:szCs w:val="24"/>
        </w:rPr>
        <w:t xml:space="preserve"> sem que cause dano ao direito de outro.</w:t>
      </w:r>
    </w:p>
    <w:p w:rsidR="003F65BE" w:rsidRDefault="003F65BE">
      <w:pPr>
        <w:spacing w:line="19" w:lineRule="exact"/>
        <w:rPr>
          <w:sz w:val="20"/>
          <w:szCs w:val="20"/>
        </w:rPr>
      </w:pPr>
    </w:p>
    <w:p w:rsidR="003F65BE" w:rsidRDefault="00CD6827">
      <w:pPr>
        <w:spacing w:line="348" w:lineRule="auto"/>
        <w:ind w:left="260" w:firstLine="1133"/>
        <w:jc w:val="both"/>
        <w:rPr>
          <w:sz w:val="20"/>
          <w:szCs w:val="20"/>
        </w:rPr>
      </w:pPr>
      <w:r>
        <w:rPr>
          <w:rFonts w:eastAsia="Times New Roman"/>
          <w:sz w:val="24"/>
          <w:szCs w:val="24"/>
        </w:rPr>
        <w:t xml:space="preserve">Conclui-se que a </w:t>
      </w:r>
      <w:r>
        <w:rPr>
          <w:rFonts w:eastAsia="Times New Roman"/>
          <w:sz w:val="24"/>
          <w:szCs w:val="24"/>
        </w:rPr>
        <w:t>caracterização de uma conduta como fato típico, não basta a simples subsunção à hipótese abstrata prevista na lei, se deve averiguar também se tal conduta</w:t>
      </w:r>
    </w:p>
    <w:p w:rsidR="003F65BE" w:rsidRDefault="003F65BE">
      <w:pPr>
        <w:spacing w:line="28" w:lineRule="exact"/>
        <w:rPr>
          <w:sz w:val="20"/>
          <w:szCs w:val="20"/>
        </w:rPr>
      </w:pPr>
    </w:p>
    <w:p w:rsidR="003F65BE" w:rsidRDefault="00CD6827">
      <w:pPr>
        <w:numPr>
          <w:ilvl w:val="0"/>
          <w:numId w:val="14"/>
        </w:numPr>
        <w:tabs>
          <w:tab w:val="left" w:pos="433"/>
        </w:tabs>
        <w:spacing w:line="348" w:lineRule="auto"/>
        <w:ind w:left="260" w:right="20" w:firstLine="2"/>
        <w:rPr>
          <w:rFonts w:eastAsia="Times New Roman"/>
          <w:sz w:val="24"/>
          <w:szCs w:val="24"/>
        </w:rPr>
      </w:pPr>
      <w:r>
        <w:rPr>
          <w:rFonts w:eastAsia="Times New Roman"/>
          <w:sz w:val="24"/>
          <w:szCs w:val="24"/>
        </w:rPr>
        <w:t>contrária à norma penal e se realmente mostra-se ofensiva e capaz de causar relevante lesão ao bem j</w:t>
      </w:r>
      <w:r>
        <w:rPr>
          <w:rFonts w:eastAsia="Times New Roman"/>
          <w:sz w:val="24"/>
          <w:szCs w:val="24"/>
        </w:rPr>
        <w:t>uridicamente protegido pelo Direito Penal (tipicidade material).</w:t>
      </w:r>
    </w:p>
    <w:p w:rsidR="003F65BE" w:rsidRDefault="003F65BE">
      <w:pPr>
        <w:sectPr w:rsidR="003F65BE">
          <w:pgSz w:w="11900" w:h="16838"/>
          <w:pgMar w:top="699" w:right="1126" w:bottom="1440"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24</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 xml:space="preserve">Não se mostrando efetivamente capaz de causar lesão ao bem jurídico, a conclusão, por meio de um raciocínio lógico, deve ser a seguinte: “se não há tipicidade </w:t>
      </w:r>
      <w:r>
        <w:rPr>
          <w:rFonts w:eastAsia="Times New Roman"/>
          <w:sz w:val="24"/>
          <w:szCs w:val="24"/>
        </w:rPr>
        <w:t>material, não há tipicidade; por conseguinte, se não há tipicidade penal, não haverá fato típico; e, como consequência lógica, se não há fato típico, não haverá crime” (GRECO, 2009, p. 66).</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39" w:lineRule="exact"/>
        <w:rPr>
          <w:sz w:val="20"/>
          <w:szCs w:val="20"/>
        </w:rPr>
      </w:pPr>
    </w:p>
    <w:p w:rsidR="003F65BE" w:rsidRDefault="00CD6827">
      <w:pPr>
        <w:ind w:left="260"/>
        <w:rPr>
          <w:sz w:val="20"/>
          <w:szCs w:val="20"/>
        </w:rPr>
      </w:pPr>
      <w:r>
        <w:rPr>
          <w:rFonts w:eastAsia="Times New Roman"/>
          <w:b/>
          <w:bCs/>
          <w:sz w:val="24"/>
          <w:szCs w:val="24"/>
        </w:rPr>
        <w:t>2.1.3 Princípio da Proporcionalidade</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3" w:lineRule="exact"/>
        <w:rPr>
          <w:sz w:val="20"/>
          <w:szCs w:val="20"/>
        </w:rPr>
      </w:pPr>
    </w:p>
    <w:p w:rsidR="003F65BE" w:rsidRDefault="00CD6827">
      <w:pPr>
        <w:spacing w:line="356" w:lineRule="auto"/>
        <w:ind w:left="260" w:firstLine="1133"/>
        <w:jc w:val="both"/>
        <w:rPr>
          <w:sz w:val="20"/>
          <w:szCs w:val="20"/>
        </w:rPr>
      </w:pPr>
      <w:r>
        <w:rPr>
          <w:rFonts w:eastAsia="Times New Roman"/>
          <w:color w:val="3A382C"/>
          <w:sz w:val="24"/>
          <w:szCs w:val="24"/>
        </w:rPr>
        <w:t>Na seara penal, o pri</w:t>
      </w:r>
      <w:r>
        <w:rPr>
          <w:rFonts w:eastAsia="Times New Roman"/>
          <w:color w:val="3A382C"/>
          <w:sz w:val="24"/>
          <w:szCs w:val="24"/>
        </w:rPr>
        <w:t>ncípio da proporcionalidade não deve ser lançado como mero instrumento de poder. Isto significa que as garantias individuais devem ser resguardadas, na análise da sanção penal e a importância social do fato, em nome da dignidade da pessoa humana mais justa</w:t>
      </w:r>
      <w:r>
        <w:rPr>
          <w:rFonts w:eastAsia="Times New Roman"/>
          <w:color w:val="3A382C"/>
          <w:sz w:val="24"/>
          <w:szCs w:val="24"/>
        </w:rPr>
        <w:t>.</w:t>
      </w:r>
    </w:p>
    <w:p w:rsidR="003F65BE" w:rsidRDefault="003F65BE">
      <w:pPr>
        <w:spacing w:line="6" w:lineRule="exact"/>
        <w:rPr>
          <w:sz w:val="20"/>
          <w:szCs w:val="20"/>
        </w:rPr>
      </w:pPr>
    </w:p>
    <w:p w:rsidR="003F65BE" w:rsidRDefault="00CD6827">
      <w:pPr>
        <w:ind w:right="120"/>
        <w:jc w:val="center"/>
        <w:rPr>
          <w:sz w:val="20"/>
          <w:szCs w:val="20"/>
        </w:rPr>
      </w:pPr>
      <w:r>
        <w:rPr>
          <w:rFonts w:eastAsia="Times New Roman"/>
          <w:color w:val="3A382C"/>
          <w:sz w:val="24"/>
          <w:szCs w:val="24"/>
        </w:rPr>
        <w:t>Prado (2005, p.150), disserta sobre o princípio em discussão, aduz:</w:t>
      </w:r>
    </w:p>
    <w:p w:rsidR="003F65BE" w:rsidRDefault="003F65BE">
      <w:pPr>
        <w:spacing w:line="150" w:lineRule="exact"/>
        <w:rPr>
          <w:sz w:val="20"/>
          <w:szCs w:val="20"/>
        </w:rPr>
      </w:pPr>
    </w:p>
    <w:p w:rsidR="003F65BE" w:rsidRDefault="00CD6827">
      <w:pPr>
        <w:spacing w:line="238" w:lineRule="auto"/>
        <w:ind w:left="2540"/>
        <w:jc w:val="both"/>
        <w:rPr>
          <w:sz w:val="20"/>
          <w:szCs w:val="20"/>
        </w:rPr>
      </w:pPr>
      <w:r>
        <w:rPr>
          <w:rFonts w:eastAsia="Times New Roman"/>
          <w:sz w:val="20"/>
          <w:szCs w:val="20"/>
        </w:rPr>
        <w:t xml:space="preserve">Considerando-se as três vertentes ou subprincípios da proporcionalidade </w:t>
      </w:r>
      <w:r>
        <w:rPr>
          <w:rFonts w:eastAsia="Times New Roman"/>
          <w:i/>
          <w:iCs/>
          <w:sz w:val="20"/>
          <w:szCs w:val="20"/>
        </w:rPr>
        <w:t>lato sensu</w:t>
      </w:r>
      <w:r>
        <w:rPr>
          <w:rFonts w:eastAsia="Times New Roman"/>
          <w:sz w:val="20"/>
          <w:szCs w:val="20"/>
        </w:rPr>
        <w:t xml:space="preserve"> </w:t>
      </w:r>
      <w:r>
        <w:rPr>
          <w:rFonts w:eastAsia="Times New Roman"/>
          <w:i/>
          <w:iCs/>
          <w:sz w:val="20"/>
          <w:szCs w:val="20"/>
        </w:rPr>
        <w:t xml:space="preserve">(adequação ou idoneidade; necessidade ou exigibilidade e proporcionalidade em sentido estrito), </w:t>
      </w:r>
      <w:r>
        <w:rPr>
          <w:rFonts w:eastAsia="Times New Roman"/>
          <w:sz w:val="20"/>
          <w:szCs w:val="20"/>
        </w:rPr>
        <w:t>pode-</w:t>
      </w:r>
      <w:r>
        <w:rPr>
          <w:rFonts w:eastAsia="Times New Roman"/>
          <w:sz w:val="20"/>
          <w:szCs w:val="20"/>
        </w:rPr>
        <w:t>se afirmar que uma medida quando apta a atingir os objetivos</w:t>
      </w:r>
      <w:r>
        <w:rPr>
          <w:rFonts w:eastAsia="Times New Roman"/>
          <w:i/>
          <w:iCs/>
          <w:sz w:val="20"/>
          <w:szCs w:val="20"/>
        </w:rPr>
        <w:t xml:space="preserve"> </w:t>
      </w:r>
      <w:r>
        <w:rPr>
          <w:rFonts w:eastAsia="Times New Roman"/>
          <w:sz w:val="20"/>
          <w:szCs w:val="20"/>
        </w:rPr>
        <w:t>para os quais foi proposta; quando causa o menor prejuízo entre as providências possíveis, ensejando menos ônus aos direitos fundamentais, e quando as vantagens que aporta superam suas desvantage</w:t>
      </w:r>
      <w:r>
        <w:rPr>
          <w:rFonts w:eastAsia="Times New Roman"/>
          <w:sz w:val="20"/>
          <w:szCs w:val="20"/>
        </w:rPr>
        <w:t>ns.</w:t>
      </w:r>
    </w:p>
    <w:p w:rsidR="003F65BE" w:rsidRDefault="003F65BE">
      <w:pPr>
        <w:spacing w:line="242" w:lineRule="exact"/>
        <w:rPr>
          <w:sz w:val="20"/>
          <w:szCs w:val="20"/>
        </w:rPr>
      </w:pPr>
    </w:p>
    <w:p w:rsidR="003F65BE" w:rsidRDefault="00CD6827">
      <w:pPr>
        <w:spacing w:line="358" w:lineRule="auto"/>
        <w:ind w:left="260" w:firstLine="1133"/>
        <w:jc w:val="both"/>
        <w:rPr>
          <w:sz w:val="20"/>
          <w:szCs w:val="20"/>
        </w:rPr>
      </w:pPr>
      <w:r>
        <w:rPr>
          <w:rFonts w:eastAsia="Times New Roman"/>
          <w:color w:val="3A382C"/>
          <w:sz w:val="24"/>
          <w:szCs w:val="24"/>
        </w:rPr>
        <w:t xml:space="preserve">Na vertente da adequação, o meio deve ser capaz de cumprir com a finalidade proposta pelo legislador, adequação do meio ao fim. O que se refere à necessidade significa que o meio escolhido é indispensável para atingir a finalidade, quando não houver outro </w:t>
      </w:r>
      <w:r>
        <w:rPr>
          <w:rFonts w:eastAsia="Times New Roman"/>
          <w:color w:val="3A382C"/>
          <w:sz w:val="24"/>
          <w:szCs w:val="24"/>
        </w:rPr>
        <w:t>meio menos gravoso. No sentido estrito, exige análise axiológica, que implica um juízo lógico que compara (juízo de valor), a gravidade da conduta antijurídica e a gravidade da pena, ou seja, a pena deve ser proporcional à gravidade da lesão ao bem jurídic</w:t>
      </w:r>
      <w:r>
        <w:rPr>
          <w:rFonts w:eastAsia="Times New Roman"/>
          <w:color w:val="3A382C"/>
          <w:sz w:val="24"/>
          <w:szCs w:val="24"/>
        </w:rPr>
        <w:t xml:space="preserve">o e a medida aplicada à periculosidade do agente (PRADO, </w:t>
      </w:r>
      <w:r>
        <w:rPr>
          <w:rFonts w:eastAsia="Times New Roman"/>
          <w:color w:val="000000"/>
          <w:sz w:val="24"/>
          <w:szCs w:val="24"/>
        </w:rPr>
        <w:t>2005, p. 151-152).</w:t>
      </w:r>
    </w:p>
    <w:p w:rsidR="003F65BE" w:rsidRDefault="003F65BE">
      <w:pPr>
        <w:spacing w:line="18" w:lineRule="exact"/>
        <w:rPr>
          <w:sz w:val="20"/>
          <w:szCs w:val="20"/>
        </w:rPr>
      </w:pPr>
    </w:p>
    <w:p w:rsidR="003F65BE" w:rsidRDefault="00CD6827">
      <w:pPr>
        <w:spacing w:line="354" w:lineRule="auto"/>
        <w:ind w:left="260" w:firstLine="1133"/>
        <w:jc w:val="both"/>
        <w:rPr>
          <w:sz w:val="20"/>
          <w:szCs w:val="20"/>
        </w:rPr>
      </w:pPr>
      <w:r>
        <w:rPr>
          <w:rFonts w:eastAsia="Times New Roman"/>
          <w:color w:val="3A382C"/>
          <w:sz w:val="24"/>
          <w:szCs w:val="24"/>
        </w:rPr>
        <w:t>Greco (2014, p. 80), sabendo que não é tarefa fácil, diz que o legislador deve ficar atento a tal princípio para alcançar a proporcionalidade no momento de propor inicialmente a p</w:t>
      </w:r>
      <w:r>
        <w:rPr>
          <w:rFonts w:eastAsia="Times New Roman"/>
          <w:color w:val="3A382C"/>
          <w:sz w:val="24"/>
          <w:szCs w:val="24"/>
        </w:rPr>
        <w:t>ena no plano abstrato.</w:t>
      </w:r>
    </w:p>
    <w:p w:rsidR="003F65BE" w:rsidRDefault="003F65BE">
      <w:pPr>
        <w:spacing w:line="20" w:lineRule="exact"/>
        <w:rPr>
          <w:sz w:val="20"/>
          <w:szCs w:val="20"/>
        </w:rPr>
      </w:pPr>
    </w:p>
    <w:p w:rsidR="003F65BE" w:rsidRDefault="00CD6827">
      <w:pPr>
        <w:spacing w:line="357" w:lineRule="auto"/>
        <w:ind w:left="260" w:firstLine="1133"/>
        <w:jc w:val="both"/>
        <w:rPr>
          <w:sz w:val="20"/>
          <w:szCs w:val="20"/>
        </w:rPr>
      </w:pPr>
      <w:r>
        <w:rPr>
          <w:rFonts w:eastAsia="Times New Roman"/>
          <w:color w:val="3A382C"/>
          <w:sz w:val="24"/>
          <w:szCs w:val="24"/>
        </w:rPr>
        <w:t xml:space="preserve">No que diz respeito à proporcionalidade levada a efeito pelo juiz, no caso concreto, pode ser menos temerosa quanto àquela realizada em abstrato pelo legislador. O julgador possui critérios de aplicação da pena a exemplo do artigo </w:t>
      </w:r>
      <w:r>
        <w:rPr>
          <w:rFonts w:eastAsia="Times New Roman"/>
          <w:color w:val="3A382C"/>
          <w:sz w:val="24"/>
          <w:szCs w:val="24"/>
        </w:rPr>
        <w:t>68, do Código Penal, se depois de analisar as circunstâncias judiciais, isoladamente, o juiz não poderá aplicar a pena base na quantidade máxima cominada à conduta ilícita praticada pelo agente, quando concluir</w:t>
      </w:r>
    </w:p>
    <w:p w:rsidR="003F65BE" w:rsidRDefault="003F65BE">
      <w:pPr>
        <w:sectPr w:rsidR="003F65BE">
          <w:pgSz w:w="11900" w:h="16838"/>
          <w:pgMar w:top="699" w:right="1126" w:bottom="969" w:left="1440" w:header="0" w:footer="0" w:gutter="0"/>
          <w:cols w:space="720" w:equalWidth="0">
            <w:col w:w="9340"/>
          </w:cols>
        </w:sectPr>
      </w:pPr>
    </w:p>
    <w:p w:rsidR="003F65BE" w:rsidRDefault="00CD6827">
      <w:pPr>
        <w:ind w:left="9120"/>
        <w:rPr>
          <w:sz w:val="20"/>
          <w:szCs w:val="20"/>
        </w:rPr>
      </w:pPr>
      <w:r>
        <w:rPr>
          <w:rFonts w:ascii="Calibri" w:eastAsia="Calibri" w:hAnsi="Calibri" w:cs="Calibri"/>
          <w:sz w:val="21"/>
          <w:szCs w:val="21"/>
        </w:rPr>
        <w:lastRenderedPageBreak/>
        <w:t>25</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48" w:lineRule="auto"/>
        <w:ind w:left="260" w:right="20"/>
        <w:jc w:val="both"/>
        <w:rPr>
          <w:sz w:val="20"/>
          <w:szCs w:val="20"/>
        </w:rPr>
      </w:pPr>
      <w:r>
        <w:rPr>
          <w:rFonts w:eastAsia="Times New Roman"/>
          <w:color w:val="3A382C"/>
          <w:sz w:val="24"/>
          <w:szCs w:val="24"/>
        </w:rPr>
        <w:t>que as circunstân</w:t>
      </w:r>
      <w:r>
        <w:rPr>
          <w:rFonts w:eastAsia="Times New Roman"/>
          <w:color w:val="3A382C"/>
          <w:sz w:val="24"/>
          <w:szCs w:val="24"/>
        </w:rPr>
        <w:t>cias são favoráveis ao agente. Caso ocorra, em contrário, a pena aplicada será desproporcional ao fato praticado (GRECO, 2014, p. 80).</w:t>
      </w:r>
    </w:p>
    <w:p w:rsidR="003F65BE" w:rsidRDefault="003F65BE">
      <w:pPr>
        <w:spacing w:line="28" w:lineRule="exact"/>
        <w:rPr>
          <w:sz w:val="20"/>
          <w:szCs w:val="20"/>
        </w:rPr>
      </w:pPr>
    </w:p>
    <w:p w:rsidR="003F65BE" w:rsidRDefault="00CD6827">
      <w:pPr>
        <w:spacing w:line="357" w:lineRule="auto"/>
        <w:ind w:left="260" w:firstLine="1133"/>
        <w:jc w:val="both"/>
        <w:rPr>
          <w:sz w:val="20"/>
          <w:szCs w:val="20"/>
        </w:rPr>
      </w:pPr>
      <w:r>
        <w:rPr>
          <w:rFonts w:eastAsia="Times New Roman"/>
          <w:color w:val="3A382C"/>
          <w:sz w:val="24"/>
          <w:szCs w:val="24"/>
        </w:rPr>
        <w:t>Desta forma, para Greco (2014, p. 82), a proibição do excesso ocorre tanto para o legislador quanto ao julgador, tendo e</w:t>
      </w:r>
      <w:r>
        <w:rPr>
          <w:rFonts w:eastAsia="Times New Roman"/>
          <w:color w:val="3A382C"/>
          <w:sz w:val="24"/>
          <w:szCs w:val="24"/>
        </w:rPr>
        <w:t>m vista a finalidade de proteger o direito de liberdade do indivíduo, evitando punição desnecessária de conduta com pouca relevância para o direito penal, venha o legislador cominar em abstrato pena desproporcional à conduta praticada pelo agente. Esse mes</w:t>
      </w:r>
      <w:r>
        <w:rPr>
          <w:rFonts w:eastAsia="Times New Roman"/>
          <w:color w:val="3A382C"/>
          <w:sz w:val="24"/>
          <w:szCs w:val="24"/>
        </w:rPr>
        <w:t>mo excesso, também se atribui ao julgador auxiliando na interpretação dos tipos penais, evita-se pena excessiva nos casos de crimes de pouca importância.</w:t>
      </w:r>
    </w:p>
    <w:p w:rsidR="003F65BE" w:rsidRDefault="003F65BE">
      <w:pPr>
        <w:spacing w:line="21" w:lineRule="exact"/>
        <w:rPr>
          <w:sz w:val="20"/>
          <w:szCs w:val="20"/>
        </w:rPr>
      </w:pPr>
    </w:p>
    <w:p w:rsidR="003F65BE" w:rsidRDefault="00CD6827">
      <w:pPr>
        <w:spacing w:line="357" w:lineRule="auto"/>
        <w:ind w:left="260" w:firstLine="1133"/>
        <w:jc w:val="both"/>
        <w:rPr>
          <w:sz w:val="20"/>
          <w:szCs w:val="20"/>
        </w:rPr>
      </w:pPr>
      <w:r>
        <w:rPr>
          <w:rFonts w:eastAsia="Times New Roman"/>
          <w:color w:val="3A382C"/>
          <w:sz w:val="24"/>
          <w:szCs w:val="24"/>
        </w:rPr>
        <w:t>Ainda no princípio da proporcionalidade, diz a respeito à proibição de proteção deficiente. Se não ad</w:t>
      </w:r>
      <w:r>
        <w:rPr>
          <w:rFonts w:eastAsia="Times New Roman"/>
          <w:color w:val="3A382C"/>
          <w:sz w:val="24"/>
          <w:szCs w:val="24"/>
        </w:rPr>
        <w:t>mite o excesso, também não se admite que um direito seja protegido de forma deficiente, quer seja por eliminação de conduta típica, seja por cominação de pena abaixo do valor exigido ao bem tutelado, quer seja na aplicação de outros institutos que benefici</w:t>
      </w:r>
      <w:r>
        <w:rPr>
          <w:rFonts w:eastAsia="Times New Roman"/>
          <w:color w:val="3A382C"/>
          <w:sz w:val="24"/>
          <w:szCs w:val="24"/>
        </w:rPr>
        <w:t>em indevidamente o indivíduo, conforme esclarece André Estefam (2005, p. 125-126).</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2" w:lineRule="exact"/>
        <w:rPr>
          <w:sz w:val="20"/>
          <w:szCs w:val="20"/>
        </w:rPr>
      </w:pPr>
    </w:p>
    <w:p w:rsidR="003F65BE" w:rsidRDefault="00CD6827">
      <w:pPr>
        <w:ind w:left="260"/>
        <w:rPr>
          <w:sz w:val="20"/>
          <w:szCs w:val="20"/>
        </w:rPr>
      </w:pPr>
      <w:r>
        <w:rPr>
          <w:rFonts w:eastAsia="Times New Roman"/>
          <w:b/>
          <w:bCs/>
          <w:sz w:val="24"/>
          <w:szCs w:val="24"/>
        </w:rPr>
        <w:t>2.1.4 Princípio da Intervenção Mínima do Estado</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3"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 xml:space="preserve">O princípio da intervenção mínima do Estado consiste no entendimento de que o Estado, através do Direito Penal, </w:t>
      </w:r>
      <w:r>
        <w:rPr>
          <w:rFonts w:eastAsia="Times New Roman"/>
          <w:sz w:val="24"/>
          <w:szCs w:val="24"/>
        </w:rPr>
        <w:t>deverá intervir o mínimo possível na vida em sociedade, tão somente em defesa dos bens necessários para o convívio social.</w:t>
      </w:r>
    </w:p>
    <w:p w:rsidR="003F65BE" w:rsidRDefault="003F65BE">
      <w:pPr>
        <w:spacing w:line="20"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O legislador, quando entender que os demais ramos do direito se revelem incapazes de atuar na proteção dos bens de alta relevância p</w:t>
      </w:r>
      <w:r>
        <w:rPr>
          <w:rFonts w:eastAsia="Times New Roman"/>
          <w:sz w:val="24"/>
          <w:szCs w:val="24"/>
        </w:rPr>
        <w:t xml:space="preserve">ara sociedade, o princípio da intervenção que funciona como um limitador do poder de punir do Estado, escolhe condutas positivas ou negativas que deverão ser observadas pelo Direito Penal, devendo ser aplicado subsidiariamente como </w:t>
      </w:r>
      <w:r>
        <w:rPr>
          <w:rFonts w:eastAsia="Times New Roman"/>
          <w:i/>
          <w:iCs/>
          <w:sz w:val="24"/>
          <w:szCs w:val="24"/>
        </w:rPr>
        <w:t>ultima ratio,</w:t>
      </w:r>
      <w:r>
        <w:rPr>
          <w:rFonts w:eastAsia="Times New Roman"/>
          <w:sz w:val="24"/>
          <w:szCs w:val="24"/>
        </w:rPr>
        <w:t xml:space="preserve"> de modo se</w:t>
      </w:r>
      <w:r>
        <w:rPr>
          <w:rFonts w:eastAsia="Times New Roman"/>
          <w:sz w:val="24"/>
          <w:szCs w:val="24"/>
        </w:rPr>
        <w:t>r o responsável por indicar os bens de maior importância a serem tutelados e também fazer a chamada descriminalização (Greco, 2014, p.51).</w:t>
      </w:r>
    </w:p>
    <w:p w:rsidR="003F65BE" w:rsidRDefault="003F65BE">
      <w:pPr>
        <w:spacing w:line="18"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Para Capez (2012, p.651), a subsidiariedade tem por característica a intervenção mínima do Estado. Para atuar, o Dir</w:t>
      </w:r>
      <w:r>
        <w:rPr>
          <w:rFonts w:eastAsia="Times New Roman"/>
          <w:sz w:val="24"/>
          <w:szCs w:val="24"/>
        </w:rPr>
        <w:t xml:space="preserve">eito Penal deve aguardar a ineficiência dos demais ramos do direito, ou seja, quando os demais ramos mostrarem-se incapazes de aplicar uma sanção à determinada conduta reprovável. É a sua atuação a </w:t>
      </w:r>
      <w:r>
        <w:rPr>
          <w:rFonts w:eastAsia="Times New Roman"/>
          <w:i/>
          <w:iCs/>
          <w:sz w:val="24"/>
          <w:szCs w:val="24"/>
        </w:rPr>
        <w:t>ultima ratio.</w:t>
      </w:r>
    </w:p>
    <w:p w:rsidR="003F65BE" w:rsidRDefault="003F65BE">
      <w:pPr>
        <w:sectPr w:rsidR="003F65BE">
          <w:pgSz w:w="11900" w:h="16838"/>
          <w:pgMar w:top="712" w:right="1126" w:bottom="923"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26</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48" w:lineRule="auto"/>
        <w:ind w:left="260" w:firstLine="1133"/>
        <w:jc w:val="both"/>
        <w:rPr>
          <w:sz w:val="20"/>
          <w:szCs w:val="20"/>
        </w:rPr>
      </w:pPr>
      <w:r>
        <w:rPr>
          <w:rFonts w:eastAsia="Times New Roman"/>
          <w:sz w:val="24"/>
          <w:szCs w:val="24"/>
        </w:rPr>
        <w:t>Nessa esteira de</w:t>
      </w:r>
      <w:r>
        <w:rPr>
          <w:rFonts w:eastAsia="Times New Roman"/>
          <w:sz w:val="24"/>
          <w:szCs w:val="24"/>
        </w:rPr>
        <w:t xml:space="preserve"> entendimento, Greco (2014, p.52) ressaltando o caráter subsidiário do Direito Penal, aponta a lição de Roxin:</w:t>
      </w:r>
    </w:p>
    <w:p w:rsidR="003F65BE" w:rsidRDefault="003F65BE">
      <w:pPr>
        <w:spacing w:line="26" w:lineRule="exact"/>
        <w:rPr>
          <w:sz w:val="20"/>
          <w:szCs w:val="20"/>
        </w:rPr>
      </w:pPr>
    </w:p>
    <w:p w:rsidR="003F65BE" w:rsidRDefault="00CD6827">
      <w:pPr>
        <w:spacing w:line="238" w:lineRule="auto"/>
        <w:ind w:left="2540"/>
        <w:jc w:val="both"/>
        <w:rPr>
          <w:sz w:val="20"/>
          <w:szCs w:val="20"/>
        </w:rPr>
      </w:pPr>
      <w:r>
        <w:rPr>
          <w:rFonts w:eastAsia="Times New Roman"/>
          <w:sz w:val="20"/>
          <w:szCs w:val="20"/>
        </w:rPr>
        <w:t>A proteção dos bens jurídicos não se realiza só mediante o Direito Penal, senão que nessa missão coopera todo o instrumental do ordenamento jurí</w:t>
      </w:r>
      <w:r>
        <w:rPr>
          <w:rFonts w:eastAsia="Times New Roman"/>
          <w:sz w:val="20"/>
          <w:szCs w:val="20"/>
        </w:rPr>
        <w:t>dico. O Direito Penal é, inclusive, a última dentre todas as medidas protetoras que se devem ser consideradas, quer dizer que somente se pode intervir quando falhem outros meios de solução social do problema – como a ação civil, os regulamentos de policia,</w:t>
      </w:r>
      <w:r>
        <w:rPr>
          <w:rFonts w:eastAsia="Times New Roman"/>
          <w:sz w:val="20"/>
          <w:szCs w:val="20"/>
        </w:rPr>
        <w:t xml:space="preserve"> as sanções não penais.</w:t>
      </w:r>
    </w:p>
    <w:p w:rsidR="003F65BE" w:rsidRDefault="003F65BE">
      <w:pPr>
        <w:spacing w:line="357"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 xml:space="preserve">Segundo Greco (2014, p. 53), há duas vertentes no princípio da intervenção mínima. Numa, orienta o legislador a selecionar os bens necessários para o convívio na sociedade. Na outra, norteia o legislador para retirar a proteção do </w:t>
      </w:r>
      <w:r>
        <w:rPr>
          <w:rFonts w:eastAsia="Times New Roman"/>
          <w:sz w:val="24"/>
          <w:szCs w:val="24"/>
        </w:rPr>
        <w:t>Estado sobre os bens, que antes, tinham especial importância, sendo que hoje, com a mudança da sociedade, não mais necessita de da proteção penal, sim das demais normas do ordenamento jurídico. Considera-se o Direito Penal o mais violento, particularmente,</w:t>
      </w:r>
      <w:r>
        <w:rPr>
          <w:rFonts w:eastAsia="Times New Roman"/>
          <w:sz w:val="24"/>
          <w:szCs w:val="24"/>
        </w:rPr>
        <w:t xml:space="preserve"> por tratar de penas privativas de liberdade, interfere no direito de ir e vir, devendo ser ele o mínimo utilizado.</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39" w:lineRule="exact"/>
        <w:rPr>
          <w:sz w:val="20"/>
          <w:szCs w:val="20"/>
        </w:rPr>
      </w:pPr>
    </w:p>
    <w:p w:rsidR="003F65BE" w:rsidRDefault="00CD6827">
      <w:pPr>
        <w:ind w:left="260"/>
        <w:rPr>
          <w:sz w:val="20"/>
          <w:szCs w:val="20"/>
        </w:rPr>
      </w:pPr>
      <w:r>
        <w:rPr>
          <w:rFonts w:eastAsia="Times New Roman"/>
          <w:b/>
          <w:bCs/>
          <w:sz w:val="24"/>
          <w:szCs w:val="24"/>
        </w:rPr>
        <w:t>2.1.5 Princípio da Adequação Social</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3" w:lineRule="exact"/>
        <w:rPr>
          <w:sz w:val="20"/>
          <w:szCs w:val="20"/>
        </w:rPr>
      </w:pPr>
    </w:p>
    <w:p w:rsidR="003F65BE" w:rsidRDefault="00CD6827">
      <w:pPr>
        <w:spacing w:line="350" w:lineRule="auto"/>
        <w:ind w:left="260" w:firstLine="1133"/>
        <w:jc w:val="both"/>
        <w:rPr>
          <w:sz w:val="20"/>
          <w:szCs w:val="20"/>
        </w:rPr>
      </w:pPr>
      <w:r>
        <w:rPr>
          <w:rFonts w:eastAsia="Times New Roman"/>
          <w:sz w:val="24"/>
          <w:szCs w:val="24"/>
        </w:rPr>
        <w:t>O princípio da adequação social significa que a conduta não será típica se estiver de acordo com</w:t>
      </w:r>
      <w:r>
        <w:rPr>
          <w:rFonts w:eastAsia="Times New Roman"/>
          <w:sz w:val="24"/>
          <w:szCs w:val="24"/>
        </w:rPr>
        <w:t xml:space="preserve"> a ordem social, mesmo estando prevista legalmente pelo Estado.</w:t>
      </w:r>
    </w:p>
    <w:p w:rsidR="003F65BE" w:rsidRDefault="003F65BE">
      <w:pPr>
        <w:spacing w:line="23"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 xml:space="preserve">Na realidade, o princípio da adequação social possui duas funções: a primeira é de limitar o tipo penal, retirando do âmbito do Direito Penal a exclusão de condutas aceitas pela sociedade. A </w:t>
      </w:r>
      <w:r>
        <w:rPr>
          <w:rFonts w:eastAsia="Times New Roman"/>
          <w:sz w:val="24"/>
          <w:szCs w:val="24"/>
        </w:rPr>
        <w:t>segunda função está direcionada ao legislador em duas vertentes: uma é de orientar o legislador na seleção das condutas necessárias para proteger os bens considerados relevantes para coletividade. A segunda vertente faz com que o legislador repense e retir</w:t>
      </w:r>
      <w:r>
        <w:rPr>
          <w:rFonts w:eastAsia="Times New Roman"/>
          <w:sz w:val="24"/>
          <w:szCs w:val="24"/>
        </w:rPr>
        <w:t>e os tipos penais do ordenamento jurídico a proteção do Estado sobre aquelas condutas já aceitas pela sociedade, após sua evolução (GRECO, 2014, 59-60).</w:t>
      </w:r>
    </w:p>
    <w:p w:rsidR="003F65BE" w:rsidRDefault="003F65BE">
      <w:pPr>
        <w:spacing w:line="18"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 xml:space="preserve">Ainda no entendimento do referido autor, verifica-se que o princípio da adequação social apenas </w:t>
      </w:r>
      <w:r>
        <w:rPr>
          <w:rFonts w:eastAsia="Times New Roman"/>
          <w:sz w:val="24"/>
          <w:szCs w:val="24"/>
        </w:rPr>
        <w:t>norteia o legislador, para distinguir e retirar do Direito Penal as condutas consideradas adequadas socialmente.</w:t>
      </w:r>
    </w:p>
    <w:p w:rsidR="003F65BE" w:rsidRDefault="003F65BE">
      <w:pPr>
        <w:sectPr w:rsidR="003F65BE">
          <w:pgSz w:w="11900" w:h="16838"/>
          <w:pgMar w:top="699" w:right="1126" w:bottom="1440"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27</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1" w:lineRule="exact"/>
        <w:rPr>
          <w:sz w:val="20"/>
          <w:szCs w:val="20"/>
        </w:rPr>
      </w:pPr>
    </w:p>
    <w:p w:rsidR="003F65BE" w:rsidRDefault="00CD6827">
      <w:pPr>
        <w:ind w:left="260"/>
        <w:rPr>
          <w:sz w:val="20"/>
          <w:szCs w:val="20"/>
        </w:rPr>
      </w:pPr>
      <w:r>
        <w:rPr>
          <w:rFonts w:eastAsia="Times New Roman"/>
          <w:b/>
          <w:bCs/>
          <w:sz w:val="24"/>
          <w:szCs w:val="24"/>
        </w:rPr>
        <w:t>2.2 Compreensão do bem jurídico “Dignidade Sexual”</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 xml:space="preserve">Dignidade sexual: esta se encontra tutelada no princípio da </w:t>
      </w:r>
      <w:r>
        <w:rPr>
          <w:rFonts w:eastAsia="Times New Roman"/>
          <w:sz w:val="24"/>
          <w:szCs w:val="24"/>
        </w:rPr>
        <w:t>dignidade da pessoa humana, que lastreia por todo o ordenamento jurídico com diferentes conceitos e várias formas de aplicação. Isto pelo valor dado à vida humana, valor que deverá nortear o intérprete do direito nos mais variados ramos da ciência jurídica</w:t>
      </w:r>
      <w:r>
        <w:rPr>
          <w:rFonts w:eastAsia="Times New Roman"/>
          <w:sz w:val="24"/>
          <w:szCs w:val="24"/>
        </w:rPr>
        <w:t xml:space="preserve"> em que a prioridade é possibilitar a concretização do direito. Na verdade, pode-se dizer que a dignidade da pessoa humana é uma referência dos direitos que visa garantir às pessoas um maior conforto, como forma de evitar o sofrimento na vida social, confo</w:t>
      </w:r>
      <w:r>
        <w:rPr>
          <w:rFonts w:eastAsia="Times New Roman"/>
          <w:sz w:val="24"/>
          <w:szCs w:val="24"/>
        </w:rPr>
        <w:t>rme preleciona Capez em seu artigo publicado na Revista Magister de Direito Penal e Processual Penal, n° 35 (2010, p. 26).</w:t>
      </w:r>
    </w:p>
    <w:p w:rsidR="003F65BE" w:rsidRDefault="003F65BE">
      <w:pPr>
        <w:spacing w:line="19"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 xml:space="preserve">Desta feita, a dignidade sexual consiste diretamente na liberdade de autodeterminação sexual da pessoa, é a sua liberdade sexual </w:t>
      </w:r>
      <w:r>
        <w:rPr>
          <w:rFonts w:eastAsia="Times New Roman"/>
          <w:sz w:val="24"/>
          <w:szCs w:val="24"/>
        </w:rPr>
        <w:t>como forma de proteção de sua integridade física, tanto sua vida como sua honra, como valor universal inerente à pessoa humana, postulado pelo Direito Internacional, na declaração Universal dos direitos do Homem, em seu artigo 1°. Igualmente, no Pacto de S</w:t>
      </w:r>
      <w:r>
        <w:rPr>
          <w:rFonts w:eastAsia="Times New Roman"/>
          <w:sz w:val="24"/>
          <w:szCs w:val="24"/>
        </w:rPr>
        <w:t>ão José da Costa Rica, em seu artigo 11, preceituando que “Toda pessoa tem direito ao respeito de sua honra e ao reconhecimento de sua dignidade”.</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36" w:lineRule="exact"/>
        <w:rPr>
          <w:sz w:val="20"/>
          <w:szCs w:val="20"/>
        </w:rPr>
      </w:pPr>
    </w:p>
    <w:p w:rsidR="003F65BE" w:rsidRDefault="00CD6827">
      <w:pPr>
        <w:ind w:left="260"/>
        <w:rPr>
          <w:sz w:val="20"/>
          <w:szCs w:val="20"/>
        </w:rPr>
      </w:pPr>
      <w:r>
        <w:rPr>
          <w:rFonts w:eastAsia="Times New Roman"/>
          <w:b/>
          <w:bCs/>
          <w:sz w:val="24"/>
          <w:szCs w:val="24"/>
        </w:rPr>
        <w:t>2.2.1 Compreensão do bem jurídico “Costumes”</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5"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 xml:space="preserve">Capez (2014) disse que a proteção dos bons costumes </w:t>
      </w:r>
      <w:r>
        <w:rPr>
          <w:rFonts w:eastAsia="Times New Roman"/>
          <w:sz w:val="24"/>
          <w:szCs w:val="24"/>
        </w:rPr>
        <w:t>prevalecia em face de outros bens jurídicos importantes como a liberdade sexual. Era o reflexo de uma sociedade pautada pela moralidade sexual e seus reflexos na organização da família, menosprezando a tutela dos direitos fundamentais do indivíduo.</w:t>
      </w:r>
    </w:p>
    <w:p w:rsidR="003F65BE" w:rsidRDefault="003F65BE">
      <w:pPr>
        <w:spacing w:line="19"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Para a</w:t>
      </w:r>
      <w:r>
        <w:rPr>
          <w:rFonts w:eastAsia="Times New Roman"/>
          <w:sz w:val="24"/>
          <w:szCs w:val="24"/>
        </w:rPr>
        <w:t>dequar-se à realidade social, especialmente para não contrariar o padrão constitucional vigente a partir 1988, estabelece-se que o indivíduo seja muito mais importante do que qualquer coisa ou objeto jurídico. Principalmente se estiverem em pauta as questõ</w:t>
      </w:r>
      <w:r>
        <w:rPr>
          <w:rFonts w:eastAsia="Times New Roman"/>
          <w:sz w:val="24"/>
          <w:szCs w:val="24"/>
        </w:rPr>
        <w:t>es ligadas à sua dignidade e/ou liberdade.</w:t>
      </w:r>
    </w:p>
    <w:p w:rsidR="003F65BE" w:rsidRDefault="003F65BE">
      <w:pPr>
        <w:spacing w:line="6" w:lineRule="exact"/>
        <w:rPr>
          <w:sz w:val="20"/>
          <w:szCs w:val="20"/>
        </w:rPr>
      </w:pPr>
    </w:p>
    <w:p w:rsidR="003F65BE" w:rsidRDefault="00CD6827">
      <w:pPr>
        <w:ind w:left="1400"/>
        <w:rPr>
          <w:sz w:val="20"/>
          <w:szCs w:val="20"/>
        </w:rPr>
      </w:pPr>
      <w:r>
        <w:rPr>
          <w:rFonts w:eastAsia="Times New Roman"/>
          <w:sz w:val="24"/>
          <w:szCs w:val="24"/>
        </w:rPr>
        <w:t>Sobre isso, disse Nucci (2010, p. 24):</w:t>
      </w:r>
    </w:p>
    <w:p w:rsidR="003F65BE" w:rsidRDefault="003F65BE">
      <w:pPr>
        <w:sectPr w:rsidR="003F65BE">
          <w:pgSz w:w="11900" w:h="16838"/>
          <w:pgMar w:top="699" w:right="1126" w:bottom="873" w:left="1440" w:header="0" w:footer="0" w:gutter="0"/>
          <w:cols w:space="720" w:equalWidth="0">
            <w:col w:w="9340"/>
          </w:cols>
        </w:sectPr>
      </w:pPr>
    </w:p>
    <w:p w:rsidR="003F65BE" w:rsidRDefault="003F65BE">
      <w:pPr>
        <w:spacing w:line="147" w:lineRule="exact"/>
        <w:rPr>
          <w:sz w:val="20"/>
          <w:szCs w:val="20"/>
        </w:rPr>
      </w:pPr>
    </w:p>
    <w:p w:rsidR="003F65BE" w:rsidRDefault="00CD6827">
      <w:pPr>
        <w:spacing w:line="234" w:lineRule="auto"/>
        <w:ind w:left="2540"/>
        <w:rPr>
          <w:sz w:val="20"/>
          <w:szCs w:val="20"/>
        </w:rPr>
      </w:pPr>
      <w:r>
        <w:rPr>
          <w:rFonts w:eastAsia="Times New Roman"/>
          <w:sz w:val="20"/>
          <w:szCs w:val="20"/>
        </w:rPr>
        <w:t>O legislador brasileiro deve preocupar-se (e ocupar-se) com as condutas efetivamente graves, que possam acarretar resultados igualmente desastrosos pa</w:t>
      </w:r>
      <w:r>
        <w:rPr>
          <w:rFonts w:eastAsia="Times New Roman"/>
          <w:sz w:val="20"/>
          <w:szCs w:val="20"/>
        </w:rPr>
        <w:t>ra a</w:t>
      </w:r>
    </w:p>
    <w:p w:rsidR="003F65BE" w:rsidRDefault="003F65BE">
      <w:pPr>
        <w:sectPr w:rsidR="003F65BE">
          <w:type w:val="continuous"/>
          <w:pgSz w:w="11900" w:h="16838"/>
          <w:pgMar w:top="699" w:right="1126" w:bottom="873"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28</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6" w:lineRule="exact"/>
        <w:rPr>
          <w:sz w:val="20"/>
          <w:szCs w:val="20"/>
        </w:rPr>
      </w:pPr>
    </w:p>
    <w:p w:rsidR="003F65BE" w:rsidRDefault="00CD6827">
      <w:pPr>
        <w:spacing w:line="234" w:lineRule="auto"/>
        <w:ind w:left="2540" w:right="20"/>
        <w:jc w:val="both"/>
        <w:rPr>
          <w:sz w:val="20"/>
          <w:szCs w:val="20"/>
        </w:rPr>
      </w:pPr>
      <w:r>
        <w:rPr>
          <w:rFonts w:eastAsia="Times New Roman"/>
          <w:sz w:val="20"/>
          <w:szCs w:val="20"/>
        </w:rPr>
        <w:t>sociedade, no campo da liberdade sexual, deixando de lado as filigranas penais, obviamente inócuas, ligadas a tempos pretéritos e esquecidos.”</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5" w:lineRule="exact"/>
        <w:rPr>
          <w:sz w:val="20"/>
          <w:szCs w:val="20"/>
        </w:rPr>
      </w:pPr>
    </w:p>
    <w:p w:rsidR="003F65BE" w:rsidRDefault="00CD6827">
      <w:pPr>
        <w:spacing w:line="350" w:lineRule="auto"/>
        <w:ind w:left="260"/>
        <w:rPr>
          <w:sz w:val="20"/>
          <w:szCs w:val="20"/>
        </w:rPr>
      </w:pPr>
      <w:r>
        <w:rPr>
          <w:rFonts w:eastAsia="Times New Roman"/>
          <w:b/>
          <w:bCs/>
          <w:sz w:val="24"/>
          <w:szCs w:val="24"/>
        </w:rPr>
        <w:t xml:space="preserve">2.2.2 - Compreensão do bem jurídico “Dignidade Sexual” quanto à </w:t>
      </w:r>
      <w:r>
        <w:rPr>
          <w:rFonts w:eastAsia="Times New Roman"/>
          <w:b/>
          <w:bCs/>
          <w:sz w:val="24"/>
          <w:szCs w:val="24"/>
        </w:rPr>
        <w:t>“vulnerabilidade” do artigo 217-A do Código Penal</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6"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A dignidade sexual é uma das espécies do gênero dignidade da pessoa humana. Ingo Wolfgang Sarlet, apud Greco (2011, p. 449) dissertando sobre o tema dignidade sexual, esclarece:</w:t>
      </w:r>
    </w:p>
    <w:p w:rsidR="003F65BE" w:rsidRDefault="003F65BE">
      <w:pPr>
        <w:spacing w:line="21" w:lineRule="exact"/>
        <w:rPr>
          <w:sz w:val="20"/>
          <w:szCs w:val="20"/>
        </w:rPr>
      </w:pPr>
    </w:p>
    <w:p w:rsidR="003F65BE" w:rsidRDefault="00CD6827">
      <w:pPr>
        <w:spacing w:line="238" w:lineRule="auto"/>
        <w:ind w:left="2540"/>
        <w:jc w:val="both"/>
        <w:rPr>
          <w:sz w:val="20"/>
          <w:szCs w:val="20"/>
        </w:rPr>
      </w:pPr>
      <w:r>
        <w:rPr>
          <w:rFonts w:eastAsia="Times New Roman"/>
          <w:sz w:val="20"/>
          <w:szCs w:val="20"/>
        </w:rPr>
        <w:t xml:space="preserve">A qualidade intrínseca </w:t>
      </w:r>
      <w:r>
        <w:rPr>
          <w:rFonts w:eastAsia="Times New Roman"/>
          <w:sz w:val="20"/>
          <w:szCs w:val="20"/>
        </w:rPr>
        <w:t>e distintiva de cada ser humano que o faz merecedor do mesmo respeito e consideração por parte do Estado e da comunidade, implicando, neste sentido, um complexo de direitos e deveres fundamentais que assegurem a pessoa tanto contra todo e qualquer ato de c</w:t>
      </w:r>
      <w:r>
        <w:rPr>
          <w:rFonts w:eastAsia="Times New Roman"/>
          <w:sz w:val="20"/>
          <w:szCs w:val="20"/>
        </w:rPr>
        <w:t>unho degradante e desumano, como venham a lhe garantir as condições existenciais mínimas para uma vida saudável, além de propiciar e promover sua participação ativa e corresponsável nos destinos da própria existência e da vida em comunhão com os demais ser</w:t>
      </w:r>
      <w:r>
        <w:rPr>
          <w:rFonts w:eastAsia="Times New Roman"/>
          <w:sz w:val="20"/>
          <w:szCs w:val="20"/>
        </w:rPr>
        <w:t>es humanos.</w:t>
      </w:r>
    </w:p>
    <w:p w:rsidR="003F65BE" w:rsidRDefault="003F65BE">
      <w:pPr>
        <w:spacing w:line="244"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O bem jurídico Dos crimes contra a dignidade Sexual, tutelado no Título VI do Código Penal, “Associa-se à respeitabilidade e à autoestima, à intimidade e à vida privada, permitindo-se deduzir que o ser humano pode realizar-se, sexualmente, sat</w:t>
      </w:r>
      <w:r>
        <w:rPr>
          <w:rFonts w:eastAsia="Times New Roman"/>
          <w:sz w:val="24"/>
          <w:szCs w:val="24"/>
        </w:rPr>
        <w:t>isfazendo a lascívia e a sensualidade como bem lhe aprouver, sem que haja qualquer interferência estatal ou da sociedade” (NUCCI, 2010, p. 42).</w:t>
      </w:r>
    </w:p>
    <w:p w:rsidR="003F65BE" w:rsidRDefault="003F65BE">
      <w:pPr>
        <w:spacing w:line="19"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No que diz respeito à vulnerabilidade constante do artigo 217-A, do Código Penal, redação dada pela Lei nº 12.0</w:t>
      </w:r>
      <w:r>
        <w:rPr>
          <w:rFonts w:eastAsia="Times New Roman"/>
          <w:sz w:val="24"/>
          <w:szCs w:val="24"/>
        </w:rPr>
        <w:t>15/2009, são consideradas vulneráveis as pessoas despidas de proteção, com possibilidade de sofrer lesão, no campo sexual, os menores de 14 anos, os deficientes mentais que não possuem o discernimento para praticar o ato sexual e aquele que por algum motiv</w:t>
      </w:r>
      <w:r>
        <w:rPr>
          <w:rFonts w:eastAsia="Times New Roman"/>
          <w:sz w:val="24"/>
          <w:szCs w:val="24"/>
        </w:rPr>
        <w:t xml:space="preserve">o não possa resistir o ato sexual. Independente de violência ou consentimento da vítima considera proibido o ato sexual mantido com quaisquer de uma das vítimas mencionadas no artigo 217-A. O legislador pressupõe a falta de capacidade do agente passivo em </w:t>
      </w:r>
      <w:r>
        <w:rPr>
          <w:rFonts w:eastAsia="Times New Roman"/>
          <w:sz w:val="24"/>
          <w:szCs w:val="24"/>
        </w:rPr>
        <w:t>compreender a gravidade do relacionamento sexual, entender as consequências negativas como a gravidez inesperada, as doenças transmissíveis, dano à honra e à dignidade.</w:t>
      </w:r>
    </w:p>
    <w:p w:rsidR="003F65BE" w:rsidRDefault="003F65BE">
      <w:pPr>
        <w:spacing w:line="20"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O doutrinador Guilherme de Souza Nucci (2010, p. 928) entende ser viável a discussão s</w:t>
      </w:r>
      <w:r>
        <w:rPr>
          <w:rFonts w:eastAsia="Times New Roman"/>
          <w:sz w:val="24"/>
          <w:szCs w:val="24"/>
        </w:rPr>
        <w:t>obre a capacidade de quem possui 12 ou 13 anos consentir o ato sexual, em se tratando de estupro de vulnerável. Nas situações em exista prova suficiente da capacidade de entendimento da relação sexual, o fato pode ser atípico ou favorecer desclassificação,</w:t>
      </w:r>
      <w:r>
        <w:rPr>
          <w:rFonts w:eastAsia="Times New Roman"/>
          <w:sz w:val="24"/>
          <w:szCs w:val="24"/>
        </w:rPr>
        <w:t xml:space="preserve"> tendo ocorrido livre de violência real. Contudo, aquele que mantiver relação sexual com menor de</w:t>
      </w:r>
    </w:p>
    <w:p w:rsidR="003F65BE" w:rsidRDefault="003F65BE">
      <w:pPr>
        <w:sectPr w:rsidR="003F65BE">
          <w:pgSz w:w="11900" w:h="16838"/>
          <w:pgMar w:top="699" w:right="1126" w:bottom="693" w:left="1440" w:header="0" w:footer="0" w:gutter="0"/>
          <w:cols w:space="720" w:equalWidth="0">
            <w:col w:w="9340"/>
          </w:cols>
        </w:sectPr>
      </w:pPr>
    </w:p>
    <w:p w:rsidR="003F65BE" w:rsidRDefault="00CD6827">
      <w:pPr>
        <w:ind w:left="9120"/>
        <w:rPr>
          <w:sz w:val="20"/>
          <w:szCs w:val="20"/>
        </w:rPr>
      </w:pPr>
      <w:r>
        <w:rPr>
          <w:rFonts w:ascii="Calibri" w:eastAsia="Calibri" w:hAnsi="Calibri" w:cs="Calibri"/>
          <w:sz w:val="21"/>
          <w:szCs w:val="21"/>
        </w:rPr>
        <w:lastRenderedPageBreak/>
        <w:t>29</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48" w:lineRule="auto"/>
        <w:ind w:left="260" w:right="20"/>
        <w:jc w:val="both"/>
        <w:rPr>
          <w:sz w:val="20"/>
          <w:szCs w:val="20"/>
        </w:rPr>
      </w:pPr>
      <w:r>
        <w:rPr>
          <w:rFonts w:eastAsia="Times New Roman"/>
          <w:sz w:val="24"/>
          <w:szCs w:val="24"/>
        </w:rPr>
        <w:t xml:space="preserve">12 anos se enquadraria no crime de estupro de vulnerável na forma absoluta. Isto se houve a compatibilização do Estatuto da </w:t>
      </w:r>
      <w:r>
        <w:rPr>
          <w:rFonts w:eastAsia="Times New Roman"/>
          <w:sz w:val="24"/>
          <w:szCs w:val="24"/>
        </w:rPr>
        <w:t>criança e do adolescente com o Código Penal brasileiro.</w:t>
      </w:r>
    </w:p>
    <w:p w:rsidR="003F65BE" w:rsidRDefault="003F65BE">
      <w:pPr>
        <w:spacing w:line="28"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Segundo Gonçalves (2011, p. 531) são vulneráveis qualquer pessoa que ainda não completou 14 anos, aquela que não tem o discernimento necessário para consentir o ato sexual, em razão de enfermidade me</w:t>
      </w:r>
      <w:r>
        <w:rPr>
          <w:rFonts w:eastAsia="Times New Roman"/>
          <w:sz w:val="24"/>
          <w:szCs w:val="24"/>
        </w:rPr>
        <w:t>ntal, e aquele que por qualquer outro motivo não podia oferecer resistência ao ato sexual.</w:t>
      </w:r>
    </w:p>
    <w:p w:rsidR="003F65BE" w:rsidRDefault="003F65BE">
      <w:pPr>
        <w:spacing w:line="19" w:lineRule="exact"/>
        <w:rPr>
          <w:sz w:val="20"/>
          <w:szCs w:val="20"/>
        </w:rPr>
      </w:pPr>
    </w:p>
    <w:p w:rsidR="003F65BE" w:rsidRDefault="00CD6827">
      <w:pPr>
        <w:spacing w:line="354" w:lineRule="auto"/>
        <w:ind w:left="260" w:right="20" w:firstLine="1133"/>
        <w:jc w:val="both"/>
        <w:rPr>
          <w:sz w:val="20"/>
          <w:szCs w:val="20"/>
        </w:rPr>
      </w:pPr>
      <w:r>
        <w:rPr>
          <w:rFonts w:eastAsia="Times New Roman"/>
          <w:sz w:val="24"/>
          <w:szCs w:val="24"/>
        </w:rPr>
        <w:t>Conclui-se que vulnerável é qualquer dessas pessoas, que se presume de forma absoluta não ter discernimento suficiente para consentir validamente aos atos sexuais a</w:t>
      </w:r>
      <w:r>
        <w:rPr>
          <w:rFonts w:eastAsia="Times New Roman"/>
          <w:sz w:val="24"/>
          <w:szCs w:val="24"/>
        </w:rPr>
        <w:t xml:space="preserve"> que são submetidas.</w:t>
      </w:r>
    </w:p>
    <w:p w:rsidR="003F65BE" w:rsidRDefault="003F65BE">
      <w:pPr>
        <w:spacing w:line="20"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Sendo assim, de acordo com explicação dos autores acima citados, o consentimento por parte do sujeito passivo menor de 14 anos não descaracteriza o tipo penal, pois não considera as mudanças frequentemente ocorridas na sociedade, como</w:t>
      </w:r>
      <w:r>
        <w:rPr>
          <w:rFonts w:eastAsia="Times New Roman"/>
          <w:sz w:val="24"/>
          <w:szCs w:val="24"/>
        </w:rPr>
        <w:t xml:space="preserve"> por exemplo, maior acesso a informações, os jovens da atualidade tendem às consequência do início precoce da atividade sexual.</w:t>
      </w:r>
    </w:p>
    <w:p w:rsidR="003F65BE" w:rsidRDefault="003F65BE">
      <w:pPr>
        <w:spacing w:line="19"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O consentimento da vítima da vítima menor de 14 anos ou sua experiência em relação à sexualidade não tem relevância jurídico-pe</w:t>
      </w:r>
      <w:r>
        <w:rPr>
          <w:rFonts w:eastAsia="Times New Roman"/>
          <w:sz w:val="24"/>
          <w:szCs w:val="24"/>
        </w:rPr>
        <w:t>nal. Isso devido à condição de vulnerável, aquele que não tem discernimento sobre si mesmo e sobre o que ocorre a sua volta. Portanto, o consentimento deles, se houvesse, não seria juridicamente válido como argumento, pela condição de vulnerável (ABREU, SI</w:t>
      </w:r>
      <w:r>
        <w:rPr>
          <w:rFonts w:eastAsia="Times New Roman"/>
          <w:sz w:val="24"/>
          <w:szCs w:val="24"/>
        </w:rPr>
        <w:t>LVA, 2011).</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3" w:lineRule="exact"/>
        <w:rPr>
          <w:sz w:val="20"/>
          <w:szCs w:val="20"/>
        </w:rPr>
      </w:pPr>
    </w:p>
    <w:p w:rsidR="003F65BE" w:rsidRDefault="00CD6827">
      <w:pPr>
        <w:ind w:left="260"/>
        <w:rPr>
          <w:sz w:val="20"/>
          <w:szCs w:val="20"/>
        </w:rPr>
      </w:pPr>
      <w:r>
        <w:rPr>
          <w:rFonts w:eastAsia="Times New Roman"/>
          <w:b/>
          <w:bCs/>
          <w:sz w:val="24"/>
          <w:szCs w:val="24"/>
        </w:rPr>
        <w:t>2.3 Compreensão jurídica do bem jurídico do direito de “Família”</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8" w:lineRule="auto"/>
        <w:ind w:left="260" w:firstLine="1202"/>
        <w:jc w:val="both"/>
        <w:rPr>
          <w:sz w:val="20"/>
          <w:szCs w:val="20"/>
        </w:rPr>
      </w:pPr>
      <w:r>
        <w:rPr>
          <w:rFonts w:eastAsia="Times New Roman"/>
          <w:sz w:val="24"/>
          <w:szCs w:val="24"/>
        </w:rPr>
        <w:t>A tendência em afirmar que o Direito de Família pende mais ao Direito Público do que ao Direito Privado decorre da existência de normas de Ordem Pública que buscam tutelar</w:t>
      </w:r>
      <w:r>
        <w:rPr>
          <w:rFonts w:eastAsia="Times New Roman"/>
          <w:sz w:val="24"/>
          <w:szCs w:val="24"/>
        </w:rPr>
        <w:t xml:space="preserve"> as entidades familiares mais do que seus integrantes. Porém o fato de os princípios dos mesmos permearem todas as relações familiares não significa ter o Direito de Família migrado para o Direito Público. Imperioso, portanto, reconhecer que o direito conc</w:t>
      </w:r>
      <w:r>
        <w:rPr>
          <w:rFonts w:eastAsia="Times New Roman"/>
          <w:sz w:val="24"/>
          <w:szCs w:val="24"/>
        </w:rPr>
        <w:t>ernente à família, ainda que tenha características peculiares e alguma proximidade com o último, tal não lhe retira o caráter privado (SILVA, 2005, p. 37-38).</w:t>
      </w:r>
    </w:p>
    <w:p w:rsidR="003F65BE" w:rsidRDefault="003F65BE">
      <w:pPr>
        <w:spacing w:line="18" w:lineRule="exact"/>
        <w:rPr>
          <w:sz w:val="20"/>
          <w:szCs w:val="20"/>
        </w:rPr>
      </w:pPr>
    </w:p>
    <w:p w:rsidR="003F65BE" w:rsidRDefault="00CD6827">
      <w:pPr>
        <w:spacing w:line="354" w:lineRule="auto"/>
        <w:ind w:left="260" w:firstLine="1202"/>
        <w:jc w:val="both"/>
        <w:rPr>
          <w:sz w:val="20"/>
          <w:szCs w:val="20"/>
        </w:rPr>
      </w:pPr>
      <w:r>
        <w:rPr>
          <w:rFonts w:eastAsia="Times New Roman"/>
          <w:sz w:val="24"/>
          <w:szCs w:val="24"/>
        </w:rPr>
        <w:t xml:space="preserve">O sistema codificado de 1916 tratou o Direito de Família em três grandes temas, na concepção de </w:t>
      </w:r>
      <w:r>
        <w:rPr>
          <w:rFonts w:eastAsia="Times New Roman"/>
          <w:sz w:val="24"/>
          <w:szCs w:val="24"/>
        </w:rPr>
        <w:t>Leite (2005, p. 23): “o casamento, o parentesco e os institutos de direito protetivo (tutela, curatela, ausência)”.</w:t>
      </w:r>
    </w:p>
    <w:p w:rsidR="003F65BE" w:rsidRDefault="003F65BE">
      <w:pPr>
        <w:sectPr w:rsidR="003F65BE">
          <w:pgSz w:w="11900" w:h="16838"/>
          <w:pgMar w:top="712" w:right="1126" w:bottom="512"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30</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57" w:lineRule="auto"/>
        <w:ind w:left="260" w:firstLine="1202"/>
        <w:jc w:val="both"/>
        <w:rPr>
          <w:sz w:val="20"/>
          <w:szCs w:val="20"/>
        </w:rPr>
      </w:pPr>
      <w:r>
        <w:rPr>
          <w:rFonts w:eastAsia="Times New Roman"/>
          <w:sz w:val="24"/>
          <w:szCs w:val="24"/>
        </w:rPr>
        <w:t>A Constituição de 1988 foi o fator culminante da lenta evolução legal das relações familiares e de parentesco. A</w:t>
      </w:r>
      <w:r>
        <w:rPr>
          <w:rFonts w:eastAsia="Times New Roman"/>
          <w:sz w:val="24"/>
          <w:szCs w:val="24"/>
        </w:rPr>
        <w:t>ntes dela devem ser destacados os diplomas legais que reduziram as desigualdades de direitos entre filhos legítimos e ilegítimos, o Estatuto da Mulher Casada e a Lei do Divórcio. Seguindo a ordem de Lôbo (2004, p. 307): “até 1988, tem-se a história do cont</w:t>
      </w:r>
      <w:r>
        <w:rPr>
          <w:rFonts w:eastAsia="Times New Roman"/>
          <w:sz w:val="24"/>
          <w:szCs w:val="24"/>
        </w:rPr>
        <w:t>ínuo desmonte da família patriarcal, deslegalizando-se e deslegitimando-se as desigualdades jurídicas”.</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1" w:lineRule="exact"/>
        <w:rPr>
          <w:sz w:val="20"/>
          <w:szCs w:val="20"/>
        </w:rPr>
      </w:pPr>
    </w:p>
    <w:p w:rsidR="003F65BE" w:rsidRDefault="00CD6827">
      <w:pPr>
        <w:ind w:left="260"/>
        <w:rPr>
          <w:sz w:val="20"/>
          <w:szCs w:val="20"/>
        </w:rPr>
      </w:pPr>
      <w:r>
        <w:rPr>
          <w:rFonts w:eastAsia="Times New Roman"/>
          <w:b/>
          <w:bCs/>
          <w:sz w:val="24"/>
          <w:szCs w:val="24"/>
        </w:rPr>
        <w:t>2.3.1. Proteção Constitucional</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3"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 xml:space="preserve">As Constituições passadas, bem como o Código Civil de 1916, só reconheciam a família decorrente do casamento, </w:t>
      </w:r>
      <w:r>
        <w:rPr>
          <w:rFonts w:eastAsia="Times New Roman"/>
          <w:sz w:val="24"/>
          <w:szCs w:val="24"/>
        </w:rPr>
        <w:t>como instituição de produção e reprodução dos valores sociais, culturais, éticos, religiosos e econômicos. A Constituição de 1988 e o Código Civil de 2002 colocam a família sob o enfoque da tutela individualizada dos seus membros.</w:t>
      </w:r>
    </w:p>
    <w:p w:rsidR="003F65BE" w:rsidRDefault="003F65BE">
      <w:pPr>
        <w:spacing w:line="19"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A família foi reconhecid</w:t>
      </w:r>
      <w:r>
        <w:rPr>
          <w:rFonts w:eastAsia="Times New Roman"/>
          <w:sz w:val="24"/>
          <w:szCs w:val="24"/>
        </w:rPr>
        <w:t>a como base da sociedade e recebe proteção do Estado, nos termos dos artigos 226 e seguintes da Carta Magna. Embora a interpretação dominante desse artigo, entre os civilistas, é no sentido de tutelar apenas os três tipos de entidades familiares, explicita</w:t>
      </w:r>
      <w:r>
        <w:rPr>
          <w:rFonts w:eastAsia="Times New Roman"/>
          <w:sz w:val="24"/>
          <w:szCs w:val="24"/>
        </w:rPr>
        <w:t xml:space="preserve">mente previstos, em </w:t>
      </w:r>
      <w:r>
        <w:rPr>
          <w:rFonts w:eastAsia="Times New Roman"/>
          <w:i/>
          <w:iCs/>
          <w:sz w:val="24"/>
          <w:szCs w:val="24"/>
        </w:rPr>
        <w:t>numerus clausus</w:t>
      </w:r>
      <w:r>
        <w:rPr>
          <w:rFonts w:eastAsia="Times New Roman"/>
          <w:sz w:val="24"/>
          <w:szCs w:val="24"/>
        </w:rPr>
        <w:t>. A saber: o casamento, a união estável e a entidade monoparental. Todavia, faz-se necessário avaliar outros tipos de relações: as uniões homoafetivas, casamento putativo e concubinato.</w:t>
      </w:r>
    </w:p>
    <w:p w:rsidR="003F65BE" w:rsidRDefault="003F65BE">
      <w:pPr>
        <w:spacing w:line="21"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Torna-se relevante destacar que no</w:t>
      </w:r>
      <w:r>
        <w:rPr>
          <w:rFonts w:eastAsia="Times New Roman"/>
          <w:sz w:val="24"/>
          <w:szCs w:val="24"/>
        </w:rPr>
        <w:t xml:space="preserve"> sentido da proteção estatal à família a Constituição Brasileira de 1988 foi a que teve maiores transformações, dentre todas as Constituições do direito comparado. Essa Constituição refere que a proteção do Estado alcança qualquer entidade familiar, sem re</w:t>
      </w:r>
      <w:r>
        <w:rPr>
          <w:rFonts w:eastAsia="Times New Roman"/>
          <w:sz w:val="24"/>
          <w:szCs w:val="24"/>
        </w:rPr>
        <w:t>strições. A família assumiu posição de sujeito e direito de obrigações, o interesse dos integrantes da família prepondera sobre o interesse patrimonial, a natureza socioafetiva da filiação se sobrepõe à biológica. Foi consagrada a igualdade entre os gênero</w:t>
      </w:r>
      <w:r>
        <w:rPr>
          <w:rFonts w:eastAsia="Times New Roman"/>
          <w:sz w:val="24"/>
          <w:szCs w:val="24"/>
        </w:rPr>
        <w:t>s e entre os filhos, e ainda a liberdade para constituir, manter e extinguir a entidade familiar; a liberdade de planejamento familiar sem a imposição do Estado. Por fim, a família é configurada no espaço de realização pessoal e dignidade humana de seus me</w:t>
      </w:r>
      <w:r>
        <w:rPr>
          <w:rFonts w:eastAsia="Times New Roman"/>
          <w:sz w:val="24"/>
          <w:szCs w:val="24"/>
        </w:rPr>
        <w:t>mbros (LÔBO, 2004).</w:t>
      </w:r>
    </w:p>
    <w:p w:rsidR="003F65BE" w:rsidRDefault="003F65BE">
      <w:pPr>
        <w:sectPr w:rsidR="003F65BE">
          <w:pgSz w:w="11900" w:h="16838"/>
          <w:pgMar w:top="699" w:right="1126" w:bottom="1440"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31</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1" w:lineRule="exact"/>
        <w:rPr>
          <w:sz w:val="20"/>
          <w:szCs w:val="20"/>
        </w:rPr>
      </w:pPr>
    </w:p>
    <w:p w:rsidR="003F65BE" w:rsidRDefault="00CD6827">
      <w:pPr>
        <w:ind w:left="260"/>
        <w:rPr>
          <w:sz w:val="20"/>
          <w:szCs w:val="20"/>
        </w:rPr>
      </w:pPr>
      <w:r>
        <w:rPr>
          <w:rFonts w:eastAsia="Times New Roman"/>
          <w:b/>
          <w:bCs/>
          <w:sz w:val="24"/>
          <w:szCs w:val="24"/>
        </w:rPr>
        <w:t>2.3.2. Constituição da família na Lei Civil</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8" w:lineRule="auto"/>
        <w:ind w:left="260" w:firstLine="1080"/>
        <w:jc w:val="both"/>
        <w:rPr>
          <w:sz w:val="20"/>
          <w:szCs w:val="20"/>
        </w:rPr>
      </w:pPr>
      <w:r>
        <w:rPr>
          <w:rFonts w:eastAsia="Times New Roman"/>
          <w:sz w:val="24"/>
          <w:szCs w:val="24"/>
        </w:rPr>
        <w:t xml:space="preserve">A princípio, a sociedade só aceitava a família constituída pelo matrimônio, sendo que a lei apenas tratava sobre o casamento, relações de filiação e o </w:t>
      </w:r>
      <w:r>
        <w:rPr>
          <w:rFonts w:eastAsia="Times New Roman"/>
          <w:sz w:val="24"/>
          <w:szCs w:val="24"/>
        </w:rPr>
        <w:t>parentesco; todavia, devido à constante mutação do seio familiar, e tendo em vista que cabe ao Estado, o dever jurídico constitucional de implementar as medidas necessárias para a constituição e desenvolvimento das famílias, surgiu ao longo da história hum</w:t>
      </w:r>
      <w:r>
        <w:rPr>
          <w:rFonts w:eastAsia="Times New Roman"/>
          <w:sz w:val="24"/>
          <w:szCs w:val="24"/>
        </w:rPr>
        <w:t>ana o reconhecimento de relações extramatrimoniais.</w:t>
      </w:r>
    </w:p>
    <w:p w:rsidR="003F65BE" w:rsidRDefault="003F65BE">
      <w:pPr>
        <w:spacing w:line="15" w:lineRule="exact"/>
        <w:rPr>
          <w:sz w:val="20"/>
          <w:szCs w:val="20"/>
        </w:rPr>
      </w:pPr>
    </w:p>
    <w:p w:rsidR="003F65BE" w:rsidRDefault="00CD6827">
      <w:pPr>
        <w:spacing w:line="354" w:lineRule="auto"/>
        <w:ind w:left="260" w:firstLine="1080"/>
        <w:jc w:val="both"/>
        <w:rPr>
          <w:sz w:val="20"/>
          <w:szCs w:val="20"/>
        </w:rPr>
      </w:pPr>
      <w:r>
        <w:rPr>
          <w:rFonts w:eastAsia="Times New Roman"/>
          <w:sz w:val="24"/>
          <w:szCs w:val="24"/>
        </w:rPr>
        <w:t>Afirma-se que atualmente o núcleo familiar, pode ser formado pela união estável, pela união de um dos pais com seus descendentes (famílias monoparentais), e até mesmo pela união homoafetiva. No que tange</w:t>
      </w:r>
      <w:r>
        <w:rPr>
          <w:rFonts w:eastAsia="Times New Roman"/>
          <w:sz w:val="24"/>
          <w:szCs w:val="24"/>
        </w:rPr>
        <w:t xml:space="preserve"> a esse último, muito embora, trata-se de tema omisso na lei,</w:t>
      </w:r>
    </w:p>
    <w:p w:rsidR="003F65BE" w:rsidRDefault="003F65BE">
      <w:pPr>
        <w:spacing w:line="22" w:lineRule="exact"/>
        <w:rPr>
          <w:sz w:val="20"/>
          <w:szCs w:val="20"/>
        </w:rPr>
      </w:pPr>
    </w:p>
    <w:p w:rsidR="003F65BE" w:rsidRDefault="00CD6827">
      <w:pPr>
        <w:numPr>
          <w:ilvl w:val="0"/>
          <w:numId w:val="15"/>
        </w:numPr>
        <w:tabs>
          <w:tab w:val="left" w:pos="440"/>
        </w:tabs>
        <w:spacing w:line="348" w:lineRule="auto"/>
        <w:ind w:left="260" w:right="20" w:firstLine="2"/>
        <w:rPr>
          <w:rFonts w:eastAsia="Times New Roman"/>
          <w:sz w:val="24"/>
          <w:szCs w:val="24"/>
        </w:rPr>
      </w:pPr>
      <w:r>
        <w:rPr>
          <w:rFonts w:eastAsia="Times New Roman"/>
          <w:sz w:val="24"/>
          <w:szCs w:val="24"/>
        </w:rPr>
        <w:t>sem sombra de dúvida muito discutido pela doutrina e jurisprudência, devido à sua própria existência na sociedade.</w:t>
      </w:r>
    </w:p>
    <w:p w:rsidR="003F65BE" w:rsidRDefault="003F65BE">
      <w:pPr>
        <w:spacing w:line="27" w:lineRule="exact"/>
        <w:rPr>
          <w:rFonts w:eastAsia="Times New Roman"/>
          <w:sz w:val="24"/>
          <w:szCs w:val="24"/>
        </w:rPr>
      </w:pPr>
    </w:p>
    <w:p w:rsidR="003F65BE" w:rsidRDefault="00CD6827">
      <w:pPr>
        <w:spacing w:line="356" w:lineRule="auto"/>
        <w:ind w:left="260" w:firstLine="1080"/>
        <w:jc w:val="both"/>
        <w:rPr>
          <w:rFonts w:eastAsia="Times New Roman"/>
          <w:sz w:val="24"/>
          <w:szCs w:val="24"/>
        </w:rPr>
      </w:pPr>
      <w:r>
        <w:rPr>
          <w:rFonts w:eastAsia="Times New Roman"/>
          <w:sz w:val="24"/>
          <w:szCs w:val="24"/>
        </w:rPr>
        <w:t xml:space="preserve">Dias (2007, p. 139), relata que até o advento da República, em 1889, a única </w:t>
      </w:r>
      <w:r>
        <w:rPr>
          <w:rFonts w:eastAsia="Times New Roman"/>
          <w:sz w:val="24"/>
          <w:szCs w:val="24"/>
        </w:rPr>
        <w:t>forma de casamento era o religioso, tanto para os católicos como para os não católicos. O casamento civil só surgiu em 1891. O conceito de família, identificado como indissolúvel, mereceu consagração em todas as Constituições Federais do Brasil.</w:t>
      </w:r>
    </w:p>
    <w:p w:rsidR="003F65BE" w:rsidRDefault="003F65BE">
      <w:pPr>
        <w:spacing w:line="16" w:lineRule="exact"/>
        <w:rPr>
          <w:rFonts w:eastAsia="Times New Roman"/>
          <w:sz w:val="24"/>
          <w:szCs w:val="24"/>
        </w:rPr>
      </w:pPr>
    </w:p>
    <w:p w:rsidR="003F65BE" w:rsidRDefault="00CD6827">
      <w:pPr>
        <w:spacing w:line="358" w:lineRule="auto"/>
        <w:ind w:left="260" w:firstLine="1080"/>
        <w:jc w:val="both"/>
        <w:rPr>
          <w:rFonts w:eastAsia="Times New Roman"/>
          <w:sz w:val="24"/>
          <w:szCs w:val="24"/>
        </w:rPr>
      </w:pPr>
      <w:r>
        <w:rPr>
          <w:rFonts w:eastAsia="Times New Roman"/>
          <w:sz w:val="24"/>
          <w:szCs w:val="24"/>
        </w:rPr>
        <w:t>Dias (200</w:t>
      </w:r>
      <w:r>
        <w:rPr>
          <w:rFonts w:eastAsia="Times New Roman"/>
          <w:sz w:val="24"/>
          <w:szCs w:val="24"/>
        </w:rPr>
        <w:t>7, p. 139), ainda lembra quando da edição do Código Civil de 1916, era de tal ordem a sacralização da família, que havia um único modo de se constituir: pelo casamento. A família tinha viés patriarcal, e as regras legais refletiam esta realidade. Somente e</w:t>
      </w:r>
      <w:r>
        <w:rPr>
          <w:rFonts w:eastAsia="Times New Roman"/>
          <w:sz w:val="24"/>
          <w:szCs w:val="24"/>
        </w:rPr>
        <w:t>ra reconhecida a família ungida pelos sagrados laços do matrimônio. Não havia outra modalidade de convívio aceitável. O casamento era indissolúvel. A resistência do Estado em admitir relacionamentos outros era de tal ordem, que a única possibilidade de rom</w:t>
      </w:r>
      <w:r>
        <w:rPr>
          <w:rFonts w:eastAsia="Times New Roman"/>
          <w:sz w:val="24"/>
          <w:szCs w:val="24"/>
        </w:rPr>
        <w:t>per com o casamento era o desquite, que não dissolvia o vínculo matrimonial e, com isso, impedia novo casamento.</w:t>
      </w:r>
    </w:p>
    <w:p w:rsidR="003F65BE" w:rsidRDefault="003F65BE">
      <w:pPr>
        <w:spacing w:line="19" w:lineRule="exact"/>
        <w:rPr>
          <w:rFonts w:eastAsia="Times New Roman"/>
          <w:sz w:val="24"/>
          <w:szCs w:val="24"/>
        </w:rPr>
      </w:pPr>
    </w:p>
    <w:p w:rsidR="003F65BE" w:rsidRDefault="00CD6827">
      <w:pPr>
        <w:spacing w:line="354" w:lineRule="auto"/>
        <w:ind w:left="260" w:firstLine="1080"/>
        <w:jc w:val="both"/>
        <w:rPr>
          <w:rFonts w:eastAsia="Times New Roman"/>
          <w:sz w:val="24"/>
          <w:szCs w:val="24"/>
        </w:rPr>
      </w:pPr>
      <w:r>
        <w:rPr>
          <w:rFonts w:eastAsia="Times New Roman"/>
          <w:sz w:val="24"/>
          <w:szCs w:val="24"/>
        </w:rPr>
        <w:t xml:space="preserve">Venosa (2005, p. 39), acrescenta que, o legislador do Código Civil de 1916 ignorou a família ilegítima, fazendo apenas raras menções ao então </w:t>
      </w:r>
      <w:r>
        <w:rPr>
          <w:rFonts w:eastAsia="Times New Roman"/>
          <w:sz w:val="24"/>
          <w:szCs w:val="24"/>
        </w:rPr>
        <w:t>chamado concubinato, unicamente no propósito de proteger a família legítima, nunca reconhecendo direitos à união</w:t>
      </w:r>
    </w:p>
    <w:p w:rsidR="003F65BE" w:rsidRDefault="003F65BE">
      <w:pPr>
        <w:spacing w:line="22" w:lineRule="exact"/>
        <w:rPr>
          <w:sz w:val="20"/>
          <w:szCs w:val="20"/>
        </w:rPr>
      </w:pPr>
    </w:p>
    <w:p w:rsidR="003F65BE" w:rsidRDefault="00CD6827">
      <w:pPr>
        <w:spacing w:line="354" w:lineRule="auto"/>
        <w:ind w:left="260" w:right="20"/>
        <w:jc w:val="both"/>
        <w:rPr>
          <w:sz w:val="20"/>
          <w:szCs w:val="20"/>
        </w:rPr>
      </w:pPr>
      <w:r>
        <w:rPr>
          <w:rFonts w:eastAsia="Times New Roman"/>
          <w:sz w:val="24"/>
          <w:szCs w:val="24"/>
        </w:rPr>
        <w:t>de fato. “Muitos foram os que entenderam, até as últimas décadas, que a união sem casamento era fenômeno estranho ao direito da família, geran</w:t>
      </w:r>
      <w:r>
        <w:rPr>
          <w:rFonts w:eastAsia="Times New Roman"/>
          <w:sz w:val="24"/>
          <w:szCs w:val="24"/>
        </w:rPr>
        <w:t>do apenas efeitos obrigacionais” (idem, p. 39).</w:t>
      </w:r>
    </w:p>
    <w:p w:rsidR="003F65BE" w:rsidRDefault="003F65BE">
      <w:pPr>
        <w:spacing w:line="20" w:lineRule="exact"/>
        <w:rPr>
          <w:sz w:val="20"/>
          <w:szCs w:val="20"/>
        </w:rPr>
      </w:pPr>
    </w:p>
    <w:p w:rsidR="003F65BE" w:rsidRDefault="00CD6827">
      <w:pPr>
        <w:spacing w:line="350" w:lineRule="auto"/>
        <w:ind w:left="260" w:firstLine="1080"/>
        <w:jc w:val="both"/>
        <w:rPr>
          <w:sz w:val="20"/>
          <w:szCs w:val="20"/>
        </w:rPr>
      </w:pPr>
      <w:r>
        <w:rPr>
          <w:rFonts w:eastAsia="Times New Roman"/>
          <w:sz w:val="24"/>
          <w:szCs w:val="24"/>
        </w:rPr>
        <w:t>Mesmo com o advento da Lei do Divórcio, a visão matrimonializada da família permaneceu. O desquite transformou-se em separação, passando a existir duas formas de</w:t>
      </w:r>
    </w:p>
    <w:p w:rsidR="003F65BE" w:rsidRDefault="003F65BE">
      <w:pPr>
        <w:sectPr w:rsidR="003F65BE">
          <w:pgSz w:w="11900" w:h="16838"/>
          <w:pgMar w:top="699" w:right="1126" w:bottom="515"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32</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57" w:lineRule="auto"/>
        <w:ind w:left="260"/>
        <w:jc w:val="both"/>
        <w:rPr>
          <w:sz w:val="20"/>
          <w:szCs w:val="20"/>
        </w:rPr>
      </w:pPr>
      <w:r>
        <w:rPr>
          <w:rFonts w:eastAsia="Times New Roman"/>
          <w:sz w:val="24"/>
          <w:szCs w:val="24"/>
        </w:rPr>
        <w:t xml:space="preserve">dissolução do </w:t>
      </w:r>
      <w:r>
        <w:rPr>
          <w:rFonts w:eastAsia="Times New Roman"/>
          <w:sz w:val="24"/>
          <w:szCs w:val="24"/>
        </w:rPr>
        <w:t xml:space="preserve">casamento: a separação e o divórcio. Na tentativa de manutenção da família, era exigido o decurso de longos prazos, ou a identificação de um culpado pela separação, o qual não podia intentar a ação para dar fim ao casamento. A perda do direito à percepção </w:t>
      </w:r>
      <w:r>
        <w:rPr>
          <w:rFonts w:eastAsia="Times New Roman"/>
          <w:sz w:val="24"/>
          <w:szCs w:val="24"/>
        </w:rPr>
        <w:t>de alimentos e a exclusão dos apelidos do marido eram penalidades que atingiam o culpado pela separação. Também se sujeitava a tais penalidades quem simplesmente tomava a iniciativa da ação de separação, mesmo sem a identificação de responsabilidades.</w:t>
      </w:r>
    </w:p>
    <w:p w:rsidR="003F65BE" w:rsidRDefault="003F65BE">
      <w:pPr>
        <w:spacing w:line="21" w:lineRule="exact"/>
        <w:rPr>
          <w:sz w:val="20"/>
          <w:szCs w:val="20"/>
        </w:rPr>
      </w:pPr>
    </w:p>
    <w:p w:rsidR="003F65BE" w:rsidRDefault="00CD6827">
      <w:pPr>
        <w:spacing w:line="358" w:lineRule="auto"/>
        <w:ind w:left="260" w:firstLine="1080"/>
        <w:jc w:val="both"/>
        <w:rPr>
          <w:sz w:val="20"/>
          <w:szCs w:val="20"/>
        </w:rPr>
      </w:pPr>
      <w:r>
        <w:rPr>
          <w:rFonts w:eastAsia="Times New Roman"/>
          <w:sz w:val="24"/>
          <w:szCs w:val="24"/>
        </w:rPr>
        <w:t>Dia</w:t>
      </w:r>
      <w:r>
        <w:rPr>
          <w:rFonts w:eastAsia="Times New Roman"/>
          <w:sz w:val="24"/>
          <w:szCs w:val="24"/>
        </w:rPr>
        <w:t>s (2007, p. 139-140), acerca dessa visão histórica do casamento, enfatiza que a nova realidade se impôs, acabando por produzir profunda revolução na própria estrutura social. Tornou-se tão saliente o novo perfil da sociedade, que a Constituição de 1988 ala</w:t>
      </w:r>
      <w:r>
        <w:rPr>
          <w:rFonts w:eastAsia="Times New Roman"/>
          <w:sz w:val="24"/>
          <w:szCs w:val="24"/>
        </w:rPr>
        <w:t>rgou o conceito de família para além do casamento. Passou a considerar como entidade familiar relacionamentos outros. Foi assegurada especial proteção tanto aos vínculos monoparentais – formados por um dos pais com seus filhos – como à união estável – rela</w:t>
      </w:r>
      <w:r>
        <w:rPr>
          <w:rFonts w:eastAsia="Times New Roman"/>
          <w:sz w:val="24"/>
          <w:szCs w:val="24"/>
        </w:rPr>
        <w:t>ção de um homem e uma mulher não sacralizada pelo matrimônio (CF 226 §). Com isso deixou de ser o casamento o único marco a identificar a existência de uma família.</w:t>
      </w:r>
    </w:p>
    <w:p w:rsidR="003F65BE" w:rsidRDefault="003F65BE">
      <w:pPr>
        <w:spacing w:line="19" w:lineRule="exact"/>
        <w:rPr>
          <w:sz w:val="20"/>
          <w:szCs w:val="20"/>
        </w:rPr>
      </w:pPr>
    </w:p>
    <w:p w:rsidR="003F65BE" w:rsidRDefault="00CD6827">
      <w:pPr>
        <w:spacing w:line="356" w:lineRule="auto"/>
        <w:ind w:left="260" w:firstLine="1080"/>
        <w:jc w:val="both"/>
        <w:rPr>
          <w:sz w:val="20"/>
          <w:szCs w:val="20"/>
        </w:rPr>
      </w:pPr>
      <w:r>
        <w:rPr>
          <w:rFonts w:eastAsia="Times New Roman"/>
          <w:sz w:val="24"/>
          <w:szCs w:val="24"/>
        </w:rPr>
        <w:t xml:space="preserve">O casamento não é mais a única forma de constituição da </w:t>
      </w:r>
      <w:r>
        <w:rPr>
          <w:rFonts w:eastAsia="Times New Roman"/>
          <w:i/>
          <w:iCs/>
          <w:sz w:val="24"/>
          <w:szCs w:val="24"/>
        </w:rPr>
        <w:t>família legítima</w:t>
      </w:r>
      <w:r>
        <w:rPr>
          <w:rFonts w:eastAsia="Times New Roman"/>
          <w:sz w:val="24"/>
          <w:szCs w:val="24"/>
        </w:rPr>
        <w:t>, porém a lei cont</w:t>
      </w:r>
      <w:r>
        <w:rPr>
          <w:rFonts w:eastAsia="Times New Roman"/>
          <w:sz w:val="24"/>
          <w:szCs w:val="24"/>
        </w:rPr>
        <w:t>inua a lhe conferir uma extensa normatização, se comparada com os dos demais institutos considerados pela Constituição Federal como entidades familiares (LISBOA, 2006, p. 45). Por tal motivo, o casamento continua sendo o instituto de direito de família que</w:t>
      </w:r>
      <w:r>
        <w:rPr>
          <w:rFonts w:eastAsia="Times New Roman"/>
          <w:sz w:val="24"/>
          <w:szCs w:val="24"/>
        </w:rPr>
        <w:t xml:space="preserve"> merece maior atenção e proteção do legislador.</w:t>
      </w:r>
    </w:p>
    <w:p w:rsidR="003F65BE" w:rsidRDefault="003F65BE">
      <w:pPr>
        <w:spacing w:line="22" w:lineRule="exact"/>
        <w:rPr>
          <w:sz w:val="20"/>
          <w:szCs w:val="20"/>
        </w:rPr>
      </w:pPr>
    </w:p>
    <w:p w:rsidR="003F65BE" w:rsidRDefault="00CD6827">
      <w:pPr>
        <w:spacing w:line="356" w:lineRule="auto"/>
        <w:ind w:left="260" w:firstLine="1080"/>
        <w:jc w:val="both"/>
        <w:rPr>
          <w:sz w:val="20"/>
          <w:szCs w:val="20"/>
        </w:rPr>
      </w:pPr>
      <w:r>
        <w:rPr>
          <w:rFonts w:eastAsia="Times New Roman"/>
          <w:sz w:val="24"/>
          <w:szCs w:val="24"/>
        </w:rPr>
        <w:t xml:space="preserve">No entendimento do autor acima citado, o casamento ainda é a única forma de constituição da família que confere historicamente uma maior estabilidade e segurança às relações entre os seus membros, inclusive </w:t>
      </w:r>
      <w:r>
        <w:rPr>
          <w:rFonts w:eastAsia="Times New Roman"/>
          <w:sz w:val="24"/>
          <w:szCs w:val="24"/>
        </w:rPr>
        <w:t>pelas consequências decorrente da sua celebração, impondo-se direitos e deveres materiais e imateriais aos cônjuges e a eles perante a sua prole.</w:t>
      </w:r>
    </w:p>
    <w:p w:rsidR="003F65BE" w:rsidRDefault="003F65BE">
      <w:pPr>
        <w:sectPr w:rsidR="003F65BE">
          <w:pgSz w:w="11900" w:h="16838"/>
          <w:pgMar w:top="699" w:right="1126" w:bottom="1440"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33</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1" w:lineRule="exact"/>
        <w:rPr>
          <w:sz w:val="20"/>
          <w:szCs w:val="20"/>
        </w:rPr>
      </w:pPr>
    </w:p>
    <w:p w:rsidR="003F65BE" w:rsidRDefault="00CD6827">
      <w:pPr>
        <w:ind w:left="260"/>
        <w:rPr>
          <w:sz w:val="20"/>
          <w:szCs w:val="20"/>
        </w:rPr>
      </w:pPr>
      <w:r>
        <w:rPr>
          <w:rFonts w:eastAsia="Times New Roman"/>
          <w:b/>
          <w:bCs/>
          <w:sz w:val="24"/>
          <w:szCs w:val="24"/>
        </w:rPr>
        <w:t>3. ANÁLISE CASUÍSTICA DO CONCEITO DE VULNERABILIDADE</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 xml:space="preserve">Majoritariamente, </w:t>
      </w:r>
      <w:r>
        <w:rPr>
          <w:rFonts w:eastAsia="Times New Roman"/>
          <w:sz w:val="24"/>
          <w:szCs w:val="24"/>
        </w:rPr>
        <w:t xml:space="preserve">conforme os doutrinadores Rogério Greco, Antônio Lopes Monteiro e Abreu e Silva, o consentimento da vítima é irrelevante para afastar a tipicidade do crime de vulnerável, porquanto segundo os mesmos o legislador quis proteger a criança e o adolescente dos </w:t>
      </w:r>
      <w:r>
        <w:rPr>
          <w:rFonts w:eastAsia="Times New Roman"/>
          <w:sz w:val="24"/>
          <w:szCs w:val="24"/>
        </w:rPr>
        <w:t>riscos encontrados na exploração sexual, seja pela prostituição , seja pela inexperiência/imaturidade do menor, sendo irrelevante o estereotipo ou experiência sexual da vítima.</w:t>
      </w:r>
    </w:p>
    <w:p w:rsidR="003F65BE" w:rsidRDefault="003F65BE">
      <w:pPr>
        <w:spacing w:line="15"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Todavia, minoritariamente, e conforme o doutrinador Guilherme Souza Nucci e Jú</w:t>
      </w:r>
      <w:r>
        <w:rPr>
          <w:rFonts w:eastAsia="Times New Roman"/>
          <w:sz w:val="24"/>
          <w:szCs w:val="24"/>
        </w:rPr>
        <w:t>lio Fabrini Mirabete, a tipificação no estupro de vulnerável diante do consentimento da vítima dependerá de análise do caso concreto, a fim de promover a justiça social e a promoção entre punição e prevenção.</w:t>
      </w:r>
    </w:p>
    <w:p w:rsidR="003F65BE" w:rsidRDefault="003F65BE">
      <w:pPr>
        <w:spacing w:line="19"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 xml:space="preserve">Isto porque, em muitos casos depara-se já com </w:t>
      </w:r>
      <w:r>
        <w:rPr>
          <w:rFonts w:eastAsia="Times New Roman"/>
          <w:sz w:val="24"/>
          <w:szCs w:val="24"/>
        </w:rPr>
        <w:t>família constituída entre o (a) agente e o menor de 14 anos, inclusive em alguns lares já com filho, de modo que a interferência do Direito Penal para repreender quem mantém relação sexual com menor de 14 anos seria desproporcional e injusto, embora o Esta</w:t>
      </w:r>
      <w:r>
        <w:rPr>
          <w:rFonts w:eastAsia="Times New Roman"/>
          <w:sz w:val="24"/>
          <w:szCs w:val="24"/>
        </w:rPr>
        <w:t>do esteja agindo para incriminar essa conduta para proteger o bem jurídico “dignidade sexual”, diante do conceito absoluto de vulnerabilidade pelo fato biológico da idade, estaria suprimindo o bem jurídico família, o qual, no aspecto social, tem relevância</w:t>
      </w:r>
      <w:r>
        <w:rPr>
          <w:rFonts w:eastAsia="Times New Roman"/>
          <w:sz w:val="24"/>
          <w:szCs w:val="24"/>
        </w:rPr>
        <w:t xml:space="preserve"> maior do que o direito de punir do Estado.</w:t>
      </w:r>
    </w:p>
    <w:p w:rsidR="003F65BE" w:rsidRDefault="003F65BE">
      <w:pPr>
        <w:spacing w:line="16"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Outro aspecto importante para se analisar a incriminação ou não do estupro de vulnerável perante o consentimento da vítima é hipótese de erro de tipo, pois diante da modernização de pensamentos/valores sociais e</w:t>
      </w:r>
      <w:r>
        <w:rPr>
          <w:rFonts w:eastAsia="Times New Roman"/>
          <w:sz w:val="24"/>
          <w:szCs w:val="24"/>
        </w:rPr>
        <w:t xml:space="preserve"> familiares, do amplo acesso a comunicação e de uma maior liberalidade na questão da sexualidade, o menor se apresenta fisicamente com aparência de adulto ou adolescente já formado, ou se porta com comportamento desenvolto, oposto de um pré-adolescente em </w:t>
      </w:r>
      <w:r>
        <w:rPr>
          <w:rFonts w:eastAsia="Times New Roman"/>
          <w:sz w:val="24"/>
          <w:szCs w:val="24"/>
        </w:rPr>
        <w:t>formação (menor de 14 anos). Em tal hipótese, a punição seria um erro estatal, especialmente porque não houve dolo de constranger/corromper menor vulnerável.</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0" w:lineRule="exact"/>
        <w:rPr>
          <w:sz w:val="20"/>
          <w:szCs w:val="20"/>
        </w:rPr>
      </w:pPr>
    </w:p>
    <w:p w:rsidR="003F65BE" w:rsidRDefault="00CD6827">
      <w:pPr>
        <w:ind w:left="260"/>
        <w:rPr>
          <w:sz w:val="20"/>
          <w:szCs w:val="20"/>
        </w:rPr>
      </w:pPr>
      <w:r>
        <w:rPr>
          <w:rFonts w:eastAsia="Times New Roman"/>
          <w:b/>
          <w:bCs/>
          <w:sz w:val="24"/>
          <w:szCs w:val="24"/>
        </w:rPr>
        <w:t>3.1 Conceitos de Vulnerabilidade</w:t>
      </w:r>
    </w:p>
    <w:p w:rsidR="003F65BE" w:rsidRDefault="003F65BE">
      <w:pPr>
        <w:spacing w:line="200" w:lineRule="exact"/>
        <w:rPr>
          <w:sz w:val="20"/>
          <w:szCs w:val="20"/>
        </w:rPr>
      </w:pPr>
    </w:p>
    <w:p w:rsidR="003F65BE" w:rsidRDefault="003F65BE">
      <w:pPr>
        <w:spacing w:line="359" w:lineRule="exact"/>
        <w:rPr>
          <w:sz w:val="20"/>
          <w:szCs w:val="20"/>
        </w:rPr>
      </w:pPr>
    </w:p>
    <w:p w:rsidR="003F65BE" w:rsidRDefault="00CD6827">
      <w:pPr>
        <w:spacing w:line="350" w:lineRule="auto"/>
        <w:ind w:left="260" w:right="20" w:firstLine="1133"/>
        <w:jc w:val="both"/>
        <w:rPr>
          <w:sz w:val="20"/>
          <w:szCs w:val="20"/>
        </w:rPr>
      </w:pPr>
      <w:r>
        <w:rPr>
          <w:rFonts w:eastAsia="Times New Roman"/>
          <w:sz w:val="24"/>
          <w:szCs w:val="24"/>
        </w:rPr>
        <w:t xml:space="preserve">Vulnerabilidade é entendida por Monteiro (2010), como o </w:t>
      </w:r>
      <w:r>
        <w:rPr>
          <w:rFonts w:eastAsia="Times New Roman"/>
          <w:sz w:val="24"/>
          <w:szCs w:val="24"/>
        </w:rPr>
        <w:t>fato de a pessoa ser menor de 14 anos, ser enferma ou deficiente mental e por isso não poder discernir sobre a</w:t>
      </w:r>
    </w:p>
    <w:p w:rsidR="003F65BE" w:rsidRDefault="003F65BE">
      <w:pPr>
        <w:sectPr w:rsidR="003F65BE">
          <w:pgSz w:w="11900" w:h="16838"/>
          <w:pgMar w:top="699" w:right="1126" w:bottom="515"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34</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48" w:lineRule="auto"/>
        <w:ind w:left="260"/>
        <w:jc w:val="both"/>
        <w:rPr>
          <w:sz w:val="20"/>
          <w:szCs w:val="20"/>
        </w:rPr>
      </w:pPr>
      <w:r>
        <w:rPr>
          <w:rFonts w:eastAsia="Times New Roman"/>
          <w:sz w:val="24"/>
          <w:szCs w:val="24"/>
        </w:rPr>
        <w:t xml:space="preserve">prática do ato e, por qualquer outra causa, a pessoa não poder oferecer resistência. Logo, o sujeito ativo é o mesmo </w:t>
      </w:r>
      <w:r>
        <w:rPr>
          <w:rFonts w:eastAsia="Times New Roman"/>
          <w:sz w:val="24"/>
          <w:szCs w:val="24"/>
        </w:rPr>
        <w:t>do estupro, e o sujeito passivo é a pessoa vulnerável.</w:t>
      </w:r>
    </w:p>
    <w:p w:rsidR="003F65BE" w:rsidRDefault="003F65BE">
      <w:pPr>
        <w:spacing w:line="28"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Abreu e Silva (2011) em seus estudos alegam que a conceituação apresentada por muitos estudiosos, como Greco (2011), Gonçalves (2011), por exemplo, não é muito aceita, sendo considerada genérica por a</w:t>
      </w:r>
      <w:r>
        <w:rPr>
          <w:rFonts w:eastAsia="Times New Roman"/>
          <w:sz w:val="24"/>
          <w:szCs w:val="24"/>
        </w:rPr>
        <w:t>lguns doutrinadores no que se refere aos menores de 14 anos, pois para eles, os doutrinadores, seria necessária uma análise da situação de fato para considerá-los vulneráveis, como por exemplo, o fato do agente passivo do crime, ou seja, do menor de 14 ano</w:t>
      </w:r>
      <w:r>
        <w:rPr>
          <w:rFonts w:eastAsia="Times New Roman"/>
          <w:sz w:val="24"/>
          <w:szCs w:val="24"/>
        </w:rPr>
        <w:t>s possuir ou não uma "acentuada" experiência sexual.</w:t>
      </w:r>
    </w:p>
    <w:p w:rsidR="003F65BE" w:rsidRDefault="003F65BE">
      <w:pPr>
        <w:spacing w:line="21"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 xml:space="preserve">Outro ponto de discussão de Abreu e Silva (2011) diz respeito ao consentimento da vítima menor de 14 anos para a prática do ato sexual, uma vez que para a caracterização do crime de estupro de </w:t>
      </w:r>
      <w:r>
        <w:rPr>
          <w:rFonts w:eastAsia="Times New Roman"/>
          <w:sz w:val="24"/>
          <w:szCs w:val="24"/>
        </w:rPr>
        <w:t>vulnerável não se faz necessária a utilização da violência ou da grave ameaça e nem o consentimento dessa vítima. Sendo assim, teria ou não capacidade uma criança ou um adolescente menor de 14 anos para dispor conscientemente seu corpo para a prática sexua</w:t>
      </w:r>
      <w:r>
        <w:rPr>
          <w:rFonts w:eastAsia="Times New Roman"/>
          <w:sz w:val="24"/>
          <w:szCs w:val="24"/>
        </w:rPr>
        <w:t>l?</w:t>
      </w:r>
    </w:p>
    <w:p w:rsidR="003F65BE" w:rsidRDefault="003F65BE">
      <w:pPr>
        <w:spacing w:line="22"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Para responder essa problemática, de acordo com explicação dos autores acima citados, o consentimento por parte do sujeito passivo menor de 14 anos deveria descaracterizar o tipo penal, pois para esses as mudanças frequentemente ocorridas na sociedade,</w:t>
      </w:r>
      <w:r>
        <w:rPr>
          <w:rFonts w:eastAsia="Times New Roman"/>
          <w:sz w:val="24"/>
          <w:szCs w:val="24"/>
        </w:rPr>
        <w:t xml:space="preserve"> como por exemplo, maior acesso a informações, favorecem o "amadurecimento" mais rápido dos jovens da atualidade tendo como consequência um início precoce da atividade sexual.</w:t>
      </w:r>
    </w:p>
    <w:p w:rsidR="003F65BE" w:rsidRDefault="003F65BE">
      <w:pPr>
        <w:spacing w:line="19" w:lineRule="exact"/>
        <w:rPr>
          <w:sz w:val="20"/>
          <w:szCs w:val="20"/>
        </w:rPr>
      </w:pPr>
    </w:p>
    <w:p w:rsidR="003F65BE" w:rsidRDefault="00CD6827">
      <w:pPr>
        <w:spacing w:line="357" w:lineRule="auto"/>
        <w:ind w:left="260" w:right="20" w:firstLine="1133"/>
        <w:jc w:val="both"/>
        <w:rPr>
          <w:sz w:val="20"/>
          <w:szCs w:val="20"/>
        </w:rPr>
      </w:pPr>
      <w:r>
        <w:rPr>
          <w:rFonts w:eastAsia="Times New Roman"/>
          <w:sz w:val="24"/>
          <w:szCs w:val="24"/>
        </w:rPr>
        <w:t xml:space="preserve">No caso do vulnerável, o consentimento da vítima ou sua experiência em relação </w:t>
      </w:r>
      <w:r>
        <w:rPr>
          <w:rFonts w:eastAsia="Times New Roman"/>
          <w:sz w:val="24"/>
          <w:szCs w:val="24"/>
        </w:rPr>
        <w:t>ao sexo não tem relevância jurídico-penal. Isso devido à condição de vulnerável, ou seja, aquele que não tem discernimento sobre si mesmo e sobre o que ocorre a sua volta; portanto, o consentimento deles, se houvesse, não seria juridicamente válido como ar</w:t>
      </w:r>
      <w:r>
        <w:rPr>
          <w:rFonts w:eastAsia="Times New Roman"/>
          <w:sz w:val="24"/>
          <w:szCs w:val="24"/>
        </w:rPr>
        <w:t>gumento, pela condição de vulnerável (ABREU, SILVA, 2011).</w:t>
      </w:r>
    </w:p>
    <w:p w:rsidR="003F65BE" w:rsidRDefault="003F65BE">
      <w:pPr>
        <w:spacing w:line="19"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Já para os que têm resposta negativa, ou seja, o menor de 14 anos, na opinião de Abreu e Silva (2011), não tem capacidade de consentir o ato sexual, fundamentam sua posição afirmando que o jovem n</w:t>
      </w:r>
      <w:r>
        <w:rPr>
          <w:rFonts w:eastAsia="Times New Roman"/>
          <w:sz w:val="24"/>
          <w:szCs w:val="24"/>
        </w:rPr>
        <w:t>essa idade ainda está na fase de formação tanto biológica como moral e psicológica e assim, não tem condições de consentir independentemente do meio social em que vive.</w:t>
      </w:r>
    </w:p>
    <w:p w:rsidR="003F65BE" w:rsidRDefault="003F65BE">
      <w:pPr>
        <w:spacing w:line="17"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 xml:space="preserve">Nas palavras de Greco (2010) para que seja configurado como um crime de estupro de </w:t>
      </w:r>
      <w:r>
        <w:rPr>
          <w:rFonts w:eastAsia="Times New Roman"/>
          <w:sz w:val="24"/>
          <w:szCs w:val="24"/>
        </w:rPr>
        <w:t>vulnerável é imprescindível “que o agente tenha conhecimento de que a vítima é menor de 14 anos e decida com ela manter conjunção carnal ou qualquer outro ato libidinoso, caso contrário o mesmo poderá alegar erro de tipo”.</w:t>
      </w:r>
    </w:p>
    <w:p w:rsidR="003F65BE" w:rsidRDefault="003F65BE">
      <w:pPr>
        <w:sectPr w:rsidR="003F65BE">
          <w:pgSz w:w="11900" w:h="16838"/>
          <w:pgMar w:top="699" w:right="1126" w:bottom="511"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35</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 xml:space="preserve">Para </w:t>
      </w:r>
      <w:r>
        <w:rPr>
          <w:rFonts w:eastAsia="Times New Roman"/>
          <w:sz w:val="24"/>
          <w:szCs w:val="24"/>
        </w:rPr>
        <w:t>Mirabete e Fabrini (2011) não se caracteriza o crime, quando a menor de 14 anos se mostra experiente em matéria sexual; já havia mantido relações sexuais com outros indivíduos; é despudorada e sem moral; é corrompida; apresenta péssimo comportamento.</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0" w:lineRule="exact"/>
        <w:rPr>
          <w:sz w:val="20"/>
          <w:szCs w:val="20"/>
        </w:rPr>
      </w:pPr>
    </w:p>
    <w:p w:rsidR="003F65BE" w:rsidRDefault="00CD6827">
      <w:pPr>
        <w:ind w:left="260"/>
        <w:rPr>
          <w:sz w:val="20"/>
          <w:szCs w:val="20"/>
        </w:rPr>
      </w:pPr>
      <w:r>
        <w:rPr>
          <w:rFonts w:eastAsia="Times New Roman"/>
          <w:b/>
          <w:bCs/>
          <w:sz w:val="24"/>
          <w:szCs w:val="24"/>
        </w:rPr>
        <w:t>3</w:t>
      </w:r>
      <w:r>
        <w:rPr>
          <w:rFonts w:eastAsia="Times New Roman"/>
          <w:b/>
          <w:bCs/>
          <w:sz w:val="24"/>
          <w:szCs w:val="24"/>
        </w:rPr>
        <w:t>.1.1. Etimológico</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5"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 xml:space="preserve">Do ponto de vista etimológico, a palavra vulnerabilidade vem do latim </w:t>
      </w:r>
      <w:r>
        <w:rPr>
          <w:rFonts w:eastAsia="Times New Roman"/>
          <w:i/>
          <w:iCs/>
          <w:sz w:val="24"/>
          <w:szCs w:val="24"/>
        </w:rPr>
        <w:t>vulnerare</w:t>
      </w:r>
      <w:r>
        <w:rPr>
          <w:rFonts w:eastAsia="Times New Roman"/>
          <w:sz w:val="24"/>
          <w:szCs w:val="24"/>
        </w:rPr>
        <w:t>, que significa causar lesão, ferir. Historicamente, este sentido foi ampliado compreendendo, além do dano físico, ofensas de toda ordem e outros prejuízos</w:t>
      </w:r>
      <w:r>
        <w:rPr>
          <w:rFonts w:eastAsia="Times New Roman"/>
          <w:sz w:val="24"/>
          <w:szCs w:val="24"/>
        </w:rPr>
        <w:t xml:space="preserve">. Segundo Maia (2011), o termo vulnerabilidade vem do latim </w:t>
      </w:r>
      <w:r>
        <w:rPr>
          <w:rFonts w:eastAsia="Times New Roman"/>
          <w:i/>
          <w:iCs/>
          <w:sz w:val="24"/>
          <w:szCs w:val="24"/>
        </w:rPr>
        <w:t>vulnerare</w:t>
      </w:r>
      <w:r>
        <w:rPr>
          <w:rFonts w:eastAsia="Times New Roman"/>
          <w:sz w:val="24"/>
          <w:szCs w:val="24"/>
        </w:rPr>
        <w:t xml:space="preserve"> = ferir e </w:t>
      </w:r>
      <w:r>
        <w:rPr>
          <w:rFonts w:eastAsia="Times New Roman"/>
          <w:i/>
          <w:iCs/>
          <w:sz w:val="24"/>
          <w:szCs w:val="24"/>
        </w:rPr>
        <w:t>vulnerabilis</w:t>
      </w:r>
      <w:r>
        <w:rPr>
          <w:rFonts w:eastAsia="Times New Roman"/>
          <w:sz w:val="24"/>
          <w:szCs w:val="24"/>
        </w:rPr>
        <w:t xml:space="preserve"> = que causa lesão. Sendo assim, pode ser definido como susceptibilidade de ser ferido, atacado, prejudicado, derrotado ou ofendido ou ainda como a capacidade de um</w:t>
      </w:r>
      <w:r>
        <w:rPr>
          <w:rFonts w:eastAsia="Times New Roman"/>
          <w:sz w:val="24"/>
          <w:szCs w:val="24"/>
        </w:rPr>
        <w:t xml:space="preserve"> indivíduo ou sistema sofrer dano em resposta a um estímulo. Portanto, todo o ser humano estaria vulnerável.</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37" w:lineRule="exact"/>
        <w:rPr>
          <w:sz w:val="20"/>
          <w:szCs w:val="20"/>
        </w:rPr>
      </w:pPr>
    </w:p>
    <w:p w:rsidR="003F65BE" w:rsidRDefault="00CD6827">
      <w:pPr>
        <w:ind w:left="260"/>
        <w:rPr>
          <w:sz w:val="20"/>
          <w:szCs w:val="20"/>
        </w:rPr>
      </w:pPr>
      <w:r>
        <w:rPr>
          <w:rFonts w:eastAsia="Times New Roman"/>
          <w:b/>
          <w:bCs/>
          <w:sz w:val="24"/>
          <w:szCs w:val="24"/>
        </w:rPr>
        <w:t>3.1.2 Social</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 xml:space="preserve">Vulnerabilidade social pode ser entendida a partir do termo exclusão social, que teve origem na França nas últimas décadas do </w:t>
      </w:r>
      <w:r>
        <w:rPr>
          <w:rFonts w:eastAsia="Times New Roman"/>
          <w:sz w:val="24"/>
          <w:szCs w:val="24"/>
        </w:rPr>
        <w:t>século XX, como uma construção teórica anterior à formulação do conceito de vulnerabilidade social, sendo utilizado como referência para caracterizar situações sociais limites de pobreza e marginalidade (MAIA, 2011).</w:t>
      </w:r>
    </w:p>
    <w:p w:rsidR="003F65BE" w:rsidRDefault="003F65BE">
      <w:pPr>
        <w:spacing w:line="19"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Portanto, a vulnerabilidade social pod</w:t>
      </w:r>
      <w:r>
        <w:rPr>
          <w:rFonts w:eastAsia="Times New Roman"/>
          <w:sz w:val="24"/>
          <w:szCs w:val="24"/>
        </w:rPr>
        <w:t>e ser compreendida como multidimensional, afetando de diferentes formas e intensidade indivíduos, grupos e comunidades em planos distintos de seu bem-estar. É a resultante da combinação de fatores que produzem a deterioração do nível de bem-estar de pessoa</w:t>
      </w:r>
      <w:r>
        <w:rPr>
          <w:rFonts w:eastAsia="Times New Roman"/>
          <w:sz w:val="24"/>
          <w:szCs w:val="24"/>
        </w:rPr>
        <w:t>s, famílias ou comunidades em consequências da exposição a determinados tipos de risco. Desse modo, a vulnerabilidade social está intimamente relacionada à forma como indivíduos, famílias ou grupos sociais sejam capazes de controlar as forças que afetam se</w:t>
      </w:r>
      <w:r>
        <w:rPr>
          <w:rFonts w:eastAsia="Times New Roman"/>
          <w:sz w:val="24"/>
          <w:szCs w:val="24"/>
        </w:rPr>
        <w:t>u bem-estar, o controle de ativos que constituem os recursos requeridos para o aproveitamento das oportunidades que lhes são propiciadas. Esses ativos podem ser divididos em: físicos, humanos e sociais (MAIA, 2011).</w:t>
      </w:r>
    </w:p>
    <w:p w:rsidR="003F65BE" w:rsidRDefault="003F65BE">
      <w:pPr>
        <w:sectPr w:rsidR="003F65BE">
          <w:pgSz w:w="11900" w:h="16838"/>
          <w:pgMar w:top="699" w:right="1126" w:bottom="928"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36</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1" w:lineRule="exact"/>
        <w:rPr>
          <w:sz w:val="20"/>
          <w:szCs w:val="20"/>
        </w:rPr>
      </w:pPr>
    </w:p>
    <w:p w:rsidR="003F65BE" w:rsidRDefault="00CD6827">
      <w:pPr>
        <w:ind w:left="260"/>
        <w:rPr>
          <w:sz w:val="20"/>
          <w:szCs w:val="20"/>
        </w:rPr>
      </w:pPr>
      <w:r>
        <w:rPr>
          <w:rFonts w:eastAsia="Times New Roman"/>
          <w:b/>
          <w:bCs/>
          <w:sz w:val="24"/>
          <w:szCs w:val="24"/>
        </w:rPr>
        <w:t>3.1.4 Moral</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 xml:space="preserve">Sanches (2014) aclara que a vulnerabilidade moral surge do processo cultural, que impacta sobre a construção de visão de mundo dos indivíduos, escala de valores. Na construção de visão de mundo, além da posição social das pessoas, há muitos outros </w:t>
      </w:r>
      <w:r>
        <w:rPr>
          <w:rFonts w:eastAsia="Times New Roman"/>
          <w:sz w:val="24"/>
          <w:szCs w:val="24"/>
        </w:rPr>
        <w:t>fatores que impactam fortemente como a educação, religião, dentre outras.</w:t>
      </w:r>
    </w:p>
    <w:p w:rsidR="003F65BE" w:rsidRDefault="003F65BE">
      <w:pPr>
        <w:spacing w:line="19"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As situações de vulnerabilidade moral são mais difíceis de serem percebidas pois são alimentadas pelas convicções humanas e, por isso muitas vezes negadas como vulnerabilidades. A v</w:t>
      </w:r>
      <w:r>
        <w:rPr>
          <w:rFonts w:eastAsia="Times New Roman"/>
          <w:sz w:val="24"/>
          <w:szCs w:val="24"/>
        </w:rPr>
        <w:t>ulnerabilidade moral é também um problema ético por si mesmo, mas sua superação está um pouco mais ao alcance das pessoas individualmente, pois depende da mudança de visão de mundo, além de mudanças de estruturas sociais. As pessoas envolvidas em situações</w:t>
      </w:r>
      <w:r>
        <w:rPr>
          <w:rFonts w:eastAsia="Times New Roman"/>
          <w:sz w:val="24"/>
          <w:szCs w:val="24"/>
        </w:rPr>
        <w:t xml:space="preserve"> de vulnerabilidade moral estão mais expostas a situações vexatórias e provocam nos outros sentimentos antagônicos ( SANCHES, 2014).</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39" w:lineRule="exact"/>
        <w:rPr>
          <w:sz w:val="20"/>
          <w:szCs w:val="20"/>
        </w:rPr>
      </w:pPr>
    </w:p>
    <w:p w:rsidR="003F65BE" w:rsidRDefault="00CD6827">
      <w:pPr>
        <w:ind w:left="260"/>
        <w:rPr>
          <w:sz w:val="20"/>
          <w:szCs w:val="20"/>
        </w:rPr>
      </w:pPr>
      <w:r>
        <w:rPr>
          <w:rFonts w:eastAsia="Times New Roman"/>
          <w:b/>
          <w:bCs/>
          <w:sz w:val="24"/>
          <w:szCs w:val="24"/>
        </w:rPr>
        <w:t>3.1.2 Jurídico</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3"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A penalidade atribuída ao crime de estupro de vulnerável é a resposta punitiva estatal ao crime, dev</w:t>
      </w:r>
      <w:r>
        <w:rPr>
          <w:rFonts w:eastAsia="Times New Roman"/>
          <w:sz w:val="24"/>
          <w:szCs w:val="24"/>
        </w:rPr>
        <w:t>e guardar proporção com o mal infligido ao corpo social, como bem salienta Capez (2011). Portanto, a pena prevista no preceito secundário do artigo 217-A do Código Penal é de reclusão de 8 (oito) a 15 (quinze) anos, conforme mencionado pela Lei nº 12.015/2</w:t>
      </w:r>
      <w:r>
        <w:rPr>
          <w:rFonts w:eastAsia="Times New Roman"/>
          <w:sz w:val="24"/>
          <w:szCs w:val="24"/>
        </w:rPr>
        <w:t>009. Sobre isso, Abreu e Silva (2011) questionam se a desproporcionalidade da mesma, uma vez que esta é mais elevada do que a pena do crime de homicídio simples o qual tem como bem jurídico tutelado um bem maior que corresponde à própria vida do ser humano</w:t>
      </w:r>
      <w:r>
        <w:rPr>
          <w:rFonts w:eastAsia="Times New Roman"/>
          <w:sz w:val="24"/>
          <w:szCs w:val="24"/>
        </w:rPr>
        <w:t xml:space="preserve"> (ABREU, SILVA, 2011).</w:t>
      </w:r>
    </w:p>
    <w:p w:rsidR="003F65BE" w:rsidRDefault="003F65BE">
      <w:pPr>
        <w:spacing w:line="7" w:lineRule="exact"/>
        <w:rPr>
          <w:sz w:val="20"/>
          <w:szCs w:val="20"/>
        </w:rPr>
      </w:pPr>
    </w:p>
    <w:p w:rsidR="003F65BE" w:rsidRDefault="00CD6827">
      <w:pPr>
        <w:ind w:left="1460"/>
        <w:rPr>
          <w:sz w:val="20"/>
          <w:szCs w:val="20"/>
        </w:rPr>
      </w:pPr>
      <w:r>
        <w:rPr>
          <w:rFonts w:eastAsia="Times New Roman"/>
          <w:sz w:val="24"/>
          <w:szCs w:val="24"/>
        </w:rPr>
        <w:t>Ademais sobre esse aspecto Greco (2011, p. 530), lembra em sua obra que:</w:t>
      </w:r>
    </w:p>
    <w:p w:rsidR="003F65BE" w:rsidRDefault="003F65BE">
      <w:pPr>
        <w:spacing w:line="147" w:lineRule="exact"/>
        <w:rPr>
          <w:sz w:val="20"/>
          <w:szCs w:val="20"/>
        </w:rPr>
      </w:pPr>
    </w:p>
    <w:p w:rsidR="003F65BE" w:rsidRDefault="00CD6827">
      <w:pPr>
        <w:spacing w:line="238" w:lineRule="auto"/>
        <w:ind w:left="2540"/>
        <w:jc w:val="both"/>
        <w:rPr>
          <w:sz w:val="20"/>
          <w:szCs w:val="20"/>
        </w:rPr>
      </w:pPr>
      <w:r>
        <w:rPr>
          <w:rFonts w:eastAsia="Times New Roman"/>
          <w:sz w:val="20"/>
          <w:szCs w:val="20"/>
        </w:rPr>
        <w:t>O novo tipo penal, como se percebe, busca punir com mais rigor comportamentos que atinjam as vítimas por ele mencionados. Não seria razoável que, se não houve</w:t>
      </w:r>
      <w:r>
        <w:rPr>
          <w:rFonts w:eastAsia="Times New Roman"/>
          <w:sz w:val="20"/>
          <w:szCs w:val="20"/>
        </w:rPr>
        <w:t>sse violência ou grave ameaça, o agente que tivesse, por exemplo, relacionado sexualmente com vítima menor de 14 (catorze) anos, respondesse pelo delito de estupro de vulnerável, com uma pena que varia entre 18 (dezoito) a 15 (quinze) anos de reclusão, enq</w:t>
      </w:r>
      <w:r>
        <w:rPr>
          <w:rFonts w:eastAsia="Times New Roman"/>
          <w:sz w:val="20"/>
          <w:szCs w:val="20"/>
        </w:rPr>
        <w:t>uanto aquele que tivesse, v.g., se valido do emprego de violência ou grave ameaça, com a mesma finalidade, fosse responsabilizado pelo delito tipificado no art. 213 do Código Penal, com as penas variando de 6 (seis) e um máximo de 10 (dez) anos.</w:t>
      </w:r>
    </w:p>
    <w:p w:rsidR="003F65BE" w:rsidRDefault="003F65BE">
      <w:pPr>
        <w:sectPr w:rsidR="003F65BE">
          <w:pgSz w:w="11900" w:h="16838"/>
          <w:pgMar w:top="699" w:right="1126" w:bottom="925"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37</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 xml:space="preserve">O mundo globalizado vive e presencia a atuação de pedófilos, que se valem de inúmeros e vis artifícios, a fim de praticarem algum ato sexual com crianças e adolescentes, não escapando de suas taras doentias até mesmo os recém-nascidos. A </w:t>
      </w:r>
      <w:r>
        <w:rPr>
          <w:rFonts w:eastAsia="Times New Roman"/>
          <w:i/>
          <w:iCs/>
          <w:sz w:val="24"/>
          <w:szCs w:val="24"/>
        </w:rPr>
        <w:t>internet</w:t>
      </w:r>
      <w:r>
        <w:rPr>
          <w:rFonts w:eastAsia="Times New Roman"/>
          <w:sz w:val="24"/>
          <w:szCs w:val="24"/>
        </w:rPr>
        <w:t xml:space="preserve"> tem sido </w:t>
      </w:r>
      <w:r>
        <w:rPr>
          <w:rFonts w:eastAsia="Times New Roman"/>
          <w:sz w:val="24"/>
          <w:szCs w:val="24"/>
        </w:rPr>
        <w:t>utilizada como um meio para atrair essas vítimas para as garras desses verdadeiros psicopatas sexuais. Vidas são destruídas em troca de pequenos momentos de um prazer estúpido e imbecil (GRECO, 2011).</w:t>
      </w:r>
    </w:p>
    <w:p w:rsidR="003F65BE" w:rsidRDefault="003F65BE">
      <w:pPr>
        <w:spacing w:line="21"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As condutas previstas no tipo penal do artigo 217-A sã</w:t>
      </w:r>
      <w:r>
        <w:rPr>
          <w:rFonts w:eastAsia="Times New Roman"/>
          <w:sz w:val="24"/>
          <w:szCs w:val="24"/>
        </w:rPr>
        <w:t>o as mesmas daquelas constantes do artigo 213 do Código Penal, sendo que a diferença existente entre eles reside no fato de que no delito de estupro de vulnerável a vítima obrigatoriamente, deverá ser menor de 14 (quatorze) anos de idade (GRECO, 2011).</w:t>
      </w:r>
    </w:p>
    <w:p w:rsidR="003F65BE" w:rsidRDefault="003F65BE">
      <w:pPr>
        <w:spacing w:line="19"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Pa</w:t>
      </w:r>
      <w:r>
        <w:rPr>
          <w:rFonts w:eastAsia="Times New Roman"/>
          <w:sz w:val="24"/>
          <w:szCs w:val="24"/>
        </w:rPr>
        <w:t>ra Gonçalves (2011), são considerados vulneráveis os menores de 14 anos. Ao contrário do regime antigo, se o ato for realizado no dia do 14º aniversário, a vítima não é mais considerada vulnerável. Se ela tiver consentido com o ato em tal data, o fato é at</w:t>
      </w:r>
      <w:r>
        <w:rPr>
          <w:rFonts w:eastAsia="Times New Roman"/>
          <w:sz w:val="24"/>
          <w:szCs w:val="24"/>
        </w:rPr>
        <w:t>ípico porque o crime de corrupção sexual de menores (antigo art. 218) foi revogado. Se o ato tiver sido acompanhado de violência ou grave ameaça na data do 14º aniversário, o agente responderá por estupro qualificado (art. 213, § 1º).</w:t>
      </w:r>
    </w:p>
    <w:p w:rsidR="003F65BE" w:rsidRDefault="003F65BE">
      <w:pPr>
        <w:spacing w:line="9" w:lineRule="exact"/>
        <w:rPr>
          <w:sz w:val="20"/>
          <w:szCs w:val="20"/>
        </w:rPr>
      </w:pPr>
    </w:p>
    <w:p w:rsidR="003F65BE" w:rsidRDefault="00CD6827">
      <w:pPr>
        <w:ind w:left="1400"/>
        <w:rPr>
          <w:sz w:val="20"/>
          <w:szCs w:val="20"/>
        </w:rPr>
      </w:pPr>
      <w:r>
        <w:rPr>
          <w:rFonts w:eastAsia="Times New Roman"/>
          <w:sz w:val="24"/>
          <w:szCs w:val="24"/>
        </w:rPr>
        <w:t xml:space="preserve">Greco (2009) é mais </w:t>
      </w:r>
      <w:r>
        <w:rPr>
          <w:rFonts w:eastAsia="Times New Roman"/>
          <w:sz w:val="24"/>
          <w:szCs w:val="24"/>
        </w:rPr>
        <w:t>claro na definição de vulnerável. Para esse autor, vulnerável</w:t>
      </w:r>
    </w:p>
    <w:p w:rsidR="003F65BE" w:rsidRDefault="003F65BE">
      <w:pPr>
        <w:spacing w:line="149" w:lineRule="exact"/>
        <w:rPr>
          <w:sz w:val="20"/>
          <w:szCs w:val="20"/>
        </w:rPr>
      </w:pPr>
    </w:p>
    <w:p w:rsidR="003F65BE" w:rsidRDefault="00CD6827">
      <w:pPr>
        <w:numPr>
          <w:ilvl w:val="0"/>
          <w:numId w:val="16"/>
        </w:numPr>
        <w:tabs>
          <w:tab w:val="left" w:pos="442"/>
        </w:tabs>
        <w:spacing w:line="357" w:lineRule="auto"/>
        <w:ind w:left="260" w:firstLine="2"/>
        <w:jc w:val="both"/>
        <w:rPr>
          <w:rFonts w:eastAsia="Times New Roman"/>
          <w:sz w:val="24"/>
          <w:szCs w:val="24"/>
        </w:rPr>
      </w:pPr>
      <w:r>
        <w:rPr>
          <w:rFonts w:eastAsia="Times New Roman"/>
          <w:sz w:val="24"/>
          <w:szCs w:val="24"/>
        </w:rPr>
        <w:t>quem, de forma absoluta, não tem discernimento suficiente para consentir validamente aos atos sexuais a que são submetidos. Mesmo que consintam ao ato sexual, esse consentimento deverá ser cons</w:t>
      </w:r>
      <w:r>
        <w:rPr>
          <w:rFonts w:eastAsia="Times New Roman"/>
          <w:sz w:val="24"/>
          <w:szCs w:val="24"/>
        </w:rPr>
        <w:t>iderado inválido, salvo nas hipóteses em que o sujeito passivo tem pleno discernimento. Mas, nos casos onde não pode oferecer resistência ao ato sexual forçado, o estupro se tipifica com a ausência de consentimento e não apenas pela impossibilidade de resi</w:t>
      </w:r>
      <w:r>
        <w:rPr>
          <w:rFonts w:eastAsia="Times New Roman"/>
          <w:sz w:val="24"/>
          <w:szCs w:val="24"/>
        </w:rPr>
        <w:t>stência.</w:t>
      </w:r>
    </w:p>
    <w:p w:rsidR="003F65BE" w:rsidRDefault="003F65BE">
      <w:pPr>
        <w:spacing w:line="8" w:lineRule="exact"/>
        <w:rPr>
          <w:rFonts w:eastAsia="Times New Roman"/>
          <w:sz w:val="24"/>
          <w:szCs w:val="24"/>
        </w:rPr>
      </w:pPr>
    </w:p>
    <w:p w:rsidR="003F65BE" w:rsidRDefault="00CD6827">
      <w:pPr>
        <w:ind w:left="1400"/>
        <w:rPr>
          <w:rFonts w:eastAsia="Times New Roman"/>
          <w:sz w:val="24"/>
          <w:szCs w:val="24"/>
        </w:rPr>
      </w:pPr>
      <w:r>
        <w:rPr>
          <w:rFonts w:eastAsia="Times New Roman"/>
          <w:sz w:val="24"/>
          <w:szCs w:val="24"/>
        </w:rPr>
        <w:t>São pessoas vulneráveis, portanto:</w:t>
      </w:r>
    </w:p>
    <w:p w:rsidR="003F65BE" w:rsidRDefault="003F65BE">
      <w:pPr>
        <w:spacing w:line="147" w:lineRule="exact"/>
        <w:rPr>
          <w:rFonts w:eastAsia="Times New Roman"/>
          <w:sz w:val="24"/>
          <w:szCs w:val="24"/>
        </w:rPr>
      </w:pPr>
    </w:p>
    <w:p w:rsidR="003F65BE" w:rsidRDefault="00CD6827">
      <w:pPr>
        <w:numPr>
          <w:ilvl w:val="1"/>
          <w:numId w:val="16"/>
        </w:numPr>
        <w:tabs>
          <w:tab w:val="left" w:pos="2748"/>
        </w:tabs>
        <w:spacing w:line="236" w:lineRule="auto"/>
        <w:ind w:left="2540" w:hanging="9"/>
        <w:jc w:val="both"/>
        <w:rPr>
          <w:rFonts w:eastAsia="Times New Roman"/>
          <w:sz w:val="20"/>
          <w:szCs w:val="20"/>
        </w:rPr>
      </w:pPr>
      <w:r>
        <w:rPr>
          <w:rFonts w:eastAsia="Times New Roman"/>
          <w:sz w:val="20"/>
          <w:szCs w:val="20"/>
        </w:rPr>
        <w:t>O homem ou a mulher que ainda não completou quatorze (14) anos de idade (essa vulnerabilidade cessa à zero hora do dia em que o sujeito passivo faz seu aniversário de 14 anos);</w:t>
      </w:r>
    </w:p>
    <w:p w:rsidR="003F65BE" w:rsidRDefault="003F65BE">
      <w:pPr>
        <w:spacing w:line="13" w:lineRule="exact"/>
        <w:rPr>
          <w:rFonts w:eastAsia="Times New Roman"/>
          <w:sz w:val="20"/>
          <w:szCs w:val="20"/>
        </w:rPr>
      </w:pPr>
    </w:p>
    <w:p w:rsidR="003F65BE" w:rsidRDefault="00CD6827">
      <w:pPr>
        <w:numPr>
          <w:ilvl w:val="1"/>
          <w:numId w:val="16"/>
        </w:numPr>
        <w:tabs>
          <w:tab w:val="left" w:pos="2765"/>
        </w:tabs>
        <w:spacing w:line="236" w:lineRule="auto"/>
        <w:ind w:left="2540" w:right="20" w:hanging="9"/>
        <w:jc w:val="both"/>
        <w:rPr>
          <w:rFonts w:eastAsia="Times New Roman"/>
          <w:sz w:val="20"/>
          <w:szCs w:val="20"/>
        </w:rPr>
      </w:pPr>
      <w:r>
        <w:rPr>
          <w:rFonts w:eastAsia="Times New Roman"/>
          <w:sz w:val="20"/>
          <w:szCs w:val="20"/>
        </w:rPr>
        <w:t>O homem ou a mulher (com 14 anos</w:t>
      </w:r>
      <w:r>
        <w:rPr>
          <w:rFonts w:eastAsia="Times New Roman"/>
          <w:sz w:val="20"/>
          <w:szCs w:val="20"/>
        </w:rPr>
        <w:t xml:space="preserve"> ou mais de idade) que não tem o necessário discernimento para a prática do ato sexual, em razão de enfermidade mental ou deficiência mental;</w:t>
      </w:r>
    </w:p>
    <w:p w:rsidR="003F65BE" w:rsidRDefault="003F65BE">
      <w:pPr>
        <w:spacing w:line="10" w:lineRule="exact"/>
        <w:rPr>
          <w:rFonts w:eastAsia="Times New Roman"/>
          <w:sz w:val="20"/>
          <w:szCs w:val="20"/>
        </w:rPr>
      </w:pPr>
    </w:p>
    <w:p w:rsidR="003F65BE" w:rsidRDefault="00CD6827">
      <w:pPr>
        <w:numPr>
          <w:ilvl w:val="1"/>
          <w:numId w:val="16"/>
        </w:numPr>
        <w:tabs>
          <w:tab w:val="left" w:pos="2765"/>
        </w:tabs>
        <w:spacing w:line="238" w:lineRule="auto"/>
        <w:ind w:left="2540" w:right="20" w:hanging="9"/>
        <w:jc w:val="both"/>
        <w:rPr>
          <w:rFonts w:eastAsia="Times New Roman"/>
          <w:sz w:val="20"/>
          <w:szCs w:val="20"/>
        </w:rPr>
      </w:pPr>
      <w:r>
        <w:rPr>
          <w:rFonts w:eastAsia="Times New Roman"/>
          <w:sz w:val="20"/>
          <w:szCs w:val="20"/>
        </w:rPr>
        <w:t>O homem ou a mulher (com 14 anos ou mais de idade) que por qualquer outro motivo não pode oferecer resistência, c</w:t>
      </w:r>
      <w:r>
        <w:rPr>
          <w:rFonts w:eastAsia="Times New Roman"/>
          <w:sz w:val="20"/>
          <w:szCs w:val="20"/>
        </w:rPr>
        <w:t>omo portadores de necessidades especiais com problemas físicos graves (paraplégicos, paraplégicos, acamados em geral impossibilitados de se levantar e de resistir) e pessoas em completo estado de torpor físico e mental em razão do uso, voluntário ou não, d</w:t>
      </w:r>
      <w:r>
        <w:rPr>
          <w:rFonts w:eastAsia="Times New Roman"/>
          <w:sz w:val="20"/>
          <w:szCs w:val="20"/>
        </w:rPr>
        <w:t>e drogas ou bebidas alcoólicas (GONÇALVES, 2011, p. 531).</w:t>
      </w:r>
    </w:p>
    <w:p w:rsidR="003F65BE" w:rsidRDefault="003F65BE">
      <w:pPr>
        <w:sectPr w:rsidR="003F65BE">
          <w:pgSz w:w="11900" w:h="16838"/>
          <w:pgMar w:top="699" w:right="1126" w:bottom="837" w:left="1440" w:header="0" w:footer="0" w:gutter="0"/>
          <w:cols w:space="720" w:equalWidth="0">
            <w:col w:w="9340"/>
          </w:cols>
        </w:sectPr>
      </w:pPr>
    </w:p>
    <w:p w:rsidR="003F65BE" w:rsidRDefault="003F65BE">
      <w:pPr>
        <w:spacing w:line="244" w:lineRule="exact"/>
        <w:rPr>
          <w:sz w:val="20"/>
          <w:szCs w:val="20"/>
        </w:rPr>
      </w:pPr>
    </w:p>
    <w:p w:rsidR="003F65BE" w:rsidRDefault="00CD6827">
      <w:pPr>
        <w:spacing w:line="350" w:lineRule="auto"/>
        <w:ind w:left="260" w:right="20" w:firstLine="1133"/>
        <w:rPr>
          <w:sz w:val="20"/>
          <w:szCs w:val="20"/>
        </w:rPr>
      </w:pPr>
      <w:r>
        <w:rPr>
          <w:rFonts w:eastAsia="Times New Roman"/>
          <w:sz w:val="24"/>
          <w:szCs w:val="24"/>
        </w:rPr>
        <w:t>No que tange o artigo 217-A, redação conferida pela 12.015/2009, é perceptível que a vulnerabilidade dos menores de quatorze anos decorre de sua imaturidade frente aos</w:t>
      </w:r>
    </w:p>
    <w:p w:rsidR="003F65BE" w:rsidRDefault="003F65BE">
      <w:pPr>
        <w:sectPr w:rsidR="003F65BE">
          <w:type w:val="continuous"/>
          <w:pgSz w:w="11900" w:h="16838"/>
          <w:pgMar w:top="699" w:right="1126" w:bottom="837"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38</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54" w:lineRule="auto"/>
        <w:ind w:left="260"/>
        <w:jc w:val="both"/>
        <w:rPr>
          <w:sz w:val="20"/>
          <w:szCs w:val="20"/>
        </w:rPr>
      </w:pPr>
      <w:r>
        <w:rPr>
          <w:rFonts w:eastAsia="Times New Roman"/>
          <w:sz w:val="24"/>
          <w:szCs w:val="24"/>
        </w:rPr>
        <w:t xml:space="preserve">atos sexuais, razão pela qual não possuem capacidade de consentir de forma válida. No entanto, é de se observar que o consentimento é questão que se liga diretamente com o bem jurídico protegido pela norma, no caso, o </w:t>
      </w:r>
      <w:r>
        <w:rPr>
          <w:rFonts w:eastAsia="Times New Roman"/>
          <w:sz w:val="24"/>
          <w:szCs w:val="24"/>
        </w:rPr>
        <w:t>ingresso precoce na vida sexual.</w:t>
      </w:r>
    </w:p>
    <w:p w:rsidR="003F65BE" w:rsidRDefault="003F65BE">
      <w:pPr>
        <w:spacing w:line="20"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Para Mirabete (2011, p. 419), qualquer pessoa pode ser sujeito ativo de estupro de vulnerável, tanto o homem como a mulher. Pratica sim o crime em estudo a mulher que tem conjunção carnal com menor de 14 anos do sexo mascu</w:t>
      </w:r>
      <w:r>
        <w:rPr>
          <w:rFonts w:eastAsia="Times New Roman"/>
          <w:sz w:val="24"/>
          <w:szCs w:val="24"/>
        </w:rPr>
        <w:t>lino. Nessa forma de conduta, somente não pode ser autor pessoa do mesmo sexo do menor, porque nesse caso não pode haver o coito normal (item 22.1.4). Na prática de outro ato libidinoso, não há impedimento de que autor e vítima sejam pessoas do mesmo sexo.</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35" w:lineRule="exact"/>
        <w:rPr>
          <w:sz w:val="20"/>
          <w:szCs w:val="20"/>
        </w:rPr>
      </w:pPr>
    </w:p>
    <w:p w:rsidR="003F65BE" w:rsidRDefault="00CD6827">
      <w:pPr>
        <w:ind w:left="260"/>
        <w:rPr>
          <w:sz w:val="20"/>
          <w:szCs w:val="20"/>
        </w:rPr>
      </w:pPr>
      <w:r>
        <w:rPr>
          <w:rFonts w:eastAsia="Times New Roman"/>
          <w:b/>
          <w:bCs/>
          <w:sz w:val="24"/>
          <w:szCs w:val="24"/>
        </w:rPr>
        <w:t>3.2  Necessidade  de  análise  concreta  do  conceito  de  vulnerabilidade  para  aplicação</w:t>
      </w:r>
    </w:p>
    <w:p w:rsidR="003F65BE" w:rsidRDefault="003F65BE">
      <w:pPr>
        <w:spacing w:line="139" w:lineRule="exact"/>
        <w:rPr>
          <w:sz w:val="20"/>
          <w:szCs w:val="20"/>
        </w:rPr>
      </w:pPr>
    </w:p>
    <w:p w:rsidR="003F65BE" w:rsidRDefault="00CD6827">
      <w:pPr>
        <w:ind w:left="820"/>
        <w:rPr>
          <w:sz w:val="20"/>
          <w:szCs w:val="20"/>
        </w:rPr>
      </w:pPr>
      <w:r>
        <w:rPr>
          <w:rFonts w:eastAsia="Times New Roman"/>
          <w:b/>
          <w:bCs/>
          <w:sz w:val="24"/>
          <w:szCs w:val="24"/>
        </w:rPr>
        <w:t>adequada no crime de estupro de vulnerável</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Pela literalidade da lei o conceito de vulnerabilidade previsto no artigo 217-A do Código Penal é absoluto, que</w:t>
      </w:r>
      <w:r>
        <w:rPr>
          <w:rFonts w:eastAsia="Times New Roman"/>
          <w:sz w:val="24"/>
          <w:szCs w:val="24"/>
        </w:rPr>
        <w:t xml:space="preserve"> implica no julgamento do fato restritivamente pelo critério objetivo, a saber, manter relação sexual com menor de 14 anos.</w:t>
      </w:r>
    </w:p>
    <w:p w:rsidR="003F65BE" w:rsidRDefault="003F65BE">
      <w:pPr>
        <w:spacing w:line="20" w:lineRule="exact"/>
        <w:rPr>
          <w:sz w:val="20"/>
          <w:szCs w:val="20"/>
        </w:rPr>
      </w:pPr>
    </w:p>
    <w:p w:rsidR="003F65BE" w:rsidRDefault="00CD6827">
      <w:pPr>
        <w:spacing w:line="356" w:lineRule="auto"/>
        <w:ind w:left="260" w:right="20" w:firstLine="1133"/>
        <w:jc w:val="both"/>
        <w:rPr>
          <w:sz w:val="20"/>
          <w:szCs w:val="20"/>
        </w:rPr>
      </w:pPr>
      <w:r>
        <w:rPr>
          <w:rFonts w:eastAsia="Times New Roman"/>
          <w:sz w:val="24"/>
          <w:szCs w:val="24"/>
        </w:rPr>
        <w:t>Todavia, essa análise limitada da lei não corresponde com o modo de viver da sociedade, pois julgar diante do critério único da lei</w:t>
      </w:r>
      <w:r>
        <w:rPr>
          <w:rFonts w:eastAsia="Times New Roman"/>
          <w:sz w:val="24"/>
          <w:szCs w:val="24"/>
        </w:rPr>
        <w:t xml:space="preserve"> (menor de 14 anos), sem analisar as circunstâncias do fato concreto, sem individualizar o julgamento, é provocar, talvez, em erro do poder judiciário quanto ao critério da justiça.</w:t>
      </w:r>
    </w:p>
    <w:p w:rsidR="003F65BE" w:rsidRDefault="003F65BE">
      <w:pPr>
        <w:spacing w:line="19" w:lineRule="exact"/>
        <w:rPr>
          <w:sz w:val="20"/>
          <w:szCs w:val="20"/>
        </w:rPr>
      </w:pPr>
    </w:p>
    <w:p w:rsidR="003F65BE" w:rsidRDefault="00CD6827">
      <w:pPr>
        <w:spacing w:line="350" w:lineRule="auto"/>
        <w:ind w:left="260" w:firstLine="1133"/>
        <w:jc w:val="both"/>
        <w:rPr>
          <w:sz w:val="20"/>
          <w:szCs w:val="20"/>
        </w:rPr>
      </w:pPr>
      <w:r>
        <w:rPr>
          <w:rFonts w:eastAsia="Times New Roman"/>
          <w:sz w:val="24"/>
          <w:szCs w:val="24"/>
        </w:rPr>
        <w:t xml:space="preserve">Assim, defende-se a ideia de que se deve analisar o caso concreto a fim </w:t>
      </w:r>
      <w:r>
        <w:rPr>
          <w:rFonts w:eastAsia="Times New Roman"/>
          <w:sz w:val="24"/>
          <w:szCs w:val="24"/>
        </w:rPr>
        <w:t>de apurar se o consentimento da vítima tem ou não validade para (a) tipificação do crime.</w:t>
      </w:r>
    </w:p>
    <w:p w:rsidR="003F65BE" w:rsidRDefault="003F65BE">
      <w:pPr>
        <w:spacing w:line="23"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 xml:space="preserve">Pela letra da 12.015/2009, artigo 217-A, </w:t>
      </w:r>
      <w:r>
        <w:rPr>
          <w:rFonts w:eastAsia="Times New Roman"/>
          <w:i/>
          <w:iCs/>
          <w:sz w:val="24"/>
          <w:szCs w:val="24"/>
        </w:rPr>
        <w:t>caput</w:t>
      </w:r>
      <w:r>
        <w:rPr>
          <w:rFonts w:eastAsia="Times New Roman"/>
          <w:sz w:val="24"/>
          <w:szCs w:val="24"/>
        </w:rPr>
        <w:t xml:space="preserve"> e § 1°, nota-se que são três as modalidades de vulneráveis, o menor de 14 anos, pessoa de qualquer idade com enfermida</w:t>
      </w:r>
      <w:r>
        <w:rPr>
          <w:rFonts w:eastAsia="Times New Roman"/>
          <w:sz w:val="24"/>
          <w:szCs w:val="24"/>
        </w:rPr>
        <w:t>de ou deficiência mental, que não tenha o mínimo discernimento para a prática do ato sexual, ou aquela que por outro motivo não possa oferecer resistência.</w:t>
      </w:r>
    </w:p>
    <w:p w:rsidR="003F65BE" w:rsidRDefault="003F65BE">
      <w:pPr>
        <w:spacing w:line="15" w:lineRule="exact"/>
        <w:rPr>
          <w:sz w:val="20"/>
          <w:szCs w:val="20"/>
        </w:rPr>
      </w:pPr>
    </w:p>
    <w:p w:rsidR="003F65BE" w:rsidRDefault="00CD6827">
      <w:pPr>
        <w:spacing w:line="350" w:lineRule="auto"/>
        <w:ind w:left="260" w:right="20" w:firstLine="1133"/>
        <w:jc w:val="both"/>
        <w:rPr>
          <w:sz w:val="20"/>
          <w:szCs w:val="20"/>
        </w:rPr>
      </w:pPr>
      <w:r>
        <w:rPr>
          <w:rFonts w:eastAsia="Times New Roman"/>
          <w:sz w:val="24"/>
          <w:szCs w:val="24"/>
        </w:rPr>
        <w:t>Nesse sentido, veja o que preleciona em sua obra o doutrinador Victor Eduardo Rios Gonçalves:</w:t>
      </w:r>
    </w:p>
    <w:p w:rsidR="003F65BE" w:rsidRDefault="003F65BE">
      <w:pPr>
        <w:spacing w:line="21" w:lineRule="exact"/>
        <w:rPr>
          <w:sz w:val="20"/>
          <w:szCs w:val="20"/>
        </w:rPr>
      </w:pPr>
    </w:p>
    <w:p w:rsidR="003F65BE" w:rsidRDefault="00CD6827">
      <w:pPr>
        <w:numPr>
          <w:ilvl w:val="0"/>
          <w:numId w:val="17"/>
        </w:numPr>
        <w:tabs>
          <w:tab w:val="left" w:pos="2797"/>
        </w:tabs>
        <w:spacing w:line="236" w:lineRule="auto"/>
        <w:ind w:left="2540" w:hanging="9"/>
        <w:jc w:val="both"/>
        <w:rPr>
          <w:rFonts w:eastAsia="Times New Roman"/>
          <w:sz w:val="20"/>
          <w:szCs w:val="20"/>
        </w:rPr>
      </w:pPr>
      <w:r>
        <w:rPr>
          <w:rFonts w:eastAsia="Times New Roman"/>
          <w:i/>
          <w:iCs/>
          <w:sz w:val="20"/>
          <w:szCs w:val="20"/>
        </w:rPr>
        <w:t>Os m</w:t>
      </w:r>
      <w:r>
        <w:rPr>
          <w:rFonts w:eastAsia="Times New Roman"/>
          <w:i/>
          <w:iCs/>
          <w:sz w:val="20"/>
          <w:szCs w:val="20"/>
        </w:rPr>
        <w:t>enores de quatorze anos</w:t>
      </w:r>
      <w:r>
        <w:rPr>
          <w:rFonts w:eastAsia="Times New Roman"/>
          <w:sz w:val="20"/>
          <w:szCs w:val="20"/>
        </w:rPr>
        <w:t>. Ao contrário do regime antigo, se o ato for</w:t>
      </w:r>
      <w:r>
        <w:rPr>
          <w:rFonts w:eastAsia="Times New Roman"/>
          <w:i/>
          <w:iCs/>
          <w:sz w:val="20"/>
          <w:szCs w:val="20"/>
        </w:rPr>
        <w:t xml:space="preserve"> </w:t>
      </w:r>
      <w:r>
        <w:rPr>
          <w:rFonts w:eastAsia="Times New Roman"/>
          <w:sz w:val="20"/>
          <w:szCs w:val="20"/>
        </w:rPr>
        <w:t>realizado no dia do 14° aniversário, a vítima não é mais considerada vulnerável. Em suma, considera-se vulnerável a pessoa que ainda não completou quatorze anos.</w:t>
      </w:r>
    </w:p>
    <w:p w:rsidR="003F65BE" w:rsidRDefault="003F65BE">
      <w:pPr>
        <w:spacing w:line="12" w:lineRule="exact"/>
        <w:rPr>
          <w:rFonts w:eastAsia="Times New Roman"/>
          <w:sz w:val="20"/>
          <w:szCs w:val="20"/>
        </w:rPr>
      </w:pPr>
    </w:p>
    <w:p w:rsidR="003F65BE" w:rsidRDefault="00CD6827">
      <w:pPr>
        <w:numPr>
          <w:ilvl w:val="0"/>
          <w:numId w:val="17"/>
        </w:numPr>
        <w:tabs>
          <w:tab w:val="left" w:pos="2799"/>
        </w:tabs>
        <w:spacing w:line="234" w:lineRule="auto"/>
        <w:ind w:left="2540" w:hanging="9"/>
        <w:jc w:val="both"/>
        <w:rPr>
          <w:rFonts w:eastAsia="Times New Roman"/>
          <w:sz w:val="20"/>
          <w:szCs w:val="20"/>
        </w:rPr>
      </w:pPr>
      <w:r>
        <w:rPr>
          <w:rFonts w:eastAsia="Times New Roman"/>
          <w:i/>
          <w:iCs/>
          <w:sz w:val="20"/>
          <w:szCs w:val="20"/>
        </w:rPr>
        <w:t>As pessoas portadoras de</w:t>
      </w:r>
      <w:r>
        <w:rPr>
          <w:rFonts w:eastAsia="Times New Roman"/>
          <w:i/>
          <w:iCs/>
          <w:sz w:val="20"/>
          <w:szCs w:val="20"/>
        </w:rPr>
        <w:t xml:space="preserve"> enfermidade ou doença mental, que não tenham o necessário discernimento para a prática do ato</w:t>
      </w:r>
      <w:r>
        <w:rPr>
          <w:rFonts w:eastAsia="Times New Roman"/>
          <w:sz w:val="20"/>
          <w:szCs w:val="20"/>
        </w:rPr>
        <w:t>. É necessária a realização de perícia</w:t>
      </w:r>
    </w:p>
    <w:p w:rsidR="003F65BE" w:rsidRDefault="003F65BE">
      <w:pPr>
        <w:sectPr w:rsidR="003F65BE">
          <w:pgSz w:w="11900" w:h="16838"/>
          <w:pgMar w:top="699" w:right="1126" w:bottom="1010" w:left="1440" w:header="0" w:footer="0" w:gutter="0"/>
          <w:cols w:space="720" w:equalWidth="0">
            <w:col w:w="9340"/>
          </w:cols>
        </w:sectPr>
      </w:pPr>
    </w:p>
    <w:p w:rsidR="003F65BE" w:rsidRDefault="00CD6827">
      <w:pPr>
        <w:ind w:left="9120"/>
        <w:rPr>
          <w:sz w:val="20"/>
          <w:szCs w:val="20"/>
        </w:rPr>
      </w:pPr>
      <w:r>
        <w:rPr>
          <w:rFonts w:ascii="Calibri" w:eastAsia="Calibri" w:hAnsi="Calibri" w:cs="Calibri"/>
          <w:sz w:val="21"/>
          <w:szCs w:val="21"/>
        </w:rPr>
        <w:lastRenderedPageBreak/>
        <w:t>39</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6" w:lineRule="exact"/>
        <w:rPr>
          <w:sz w:val="20"/>
          <w:szCs w:val="20"/>
        </w:rPr>
      </w:pPr>
    </w:p>
    <w:p w:rsidR="003F65BE" w:rsidRDefault="00CD6827">
      <w:pPr>
        <w:spacing w:line="234" w:lineRule="auto"/>
        <w:ind w:left="2540"/>
        <w:rPr>
          <w:sz w:val="20"/>
          <w:szCs w:val="20"/>
        </w:rPr>
      </w:pPr>
      <w:r>
        <w:rPr>
          <w:rFonts w:eastAsia="Times New Roman"/>
          <w:sz w:val="20"/>
          <w:szCs w:val="20"/>
        </w:rPr>
        <w:t xml:space="preserve">médica para a constatação de que o problema mental retirava </w:t>
      </w:r>
      <w:r>
        <w:rPr>
          <w:rFonts w:eastAsia="Times New Roman"/>
          <w:i/>
          <w:iCs/>
          <w:sz w:val="20"/>
          <w:szCs w:val="20"/>
        </w:rPr>
        <w:t>por completo</w:t>
      </w:r>
      <w:r>
        <w:rPr>
          <w:rFonts w:eastAsia="Times New Roman"/>
          <w:sz w:val="20"/>
          <w:szCs w:val="20"/>
        </w:rPr>
        <w:t xml:space="preserve"> da vítima o discernimento para o ato sexual.</w:t>
      </w:r>
    </w:p>
    <w:p w:rsidR="003F65BE" w:rsidRDefault="003F65BE">
      <w:pPr>
        <w:spacing w:line="10" w:lineRule="exact"/>
        <w:rPr>
          <w:sz w:val="20"/>
          <w:szCs w:val="20"/>
        </w:rPr>
      </w:pPr>
    </w:p>
    <w:p w:rsidR="003F65BE" w:rsidRDefault="00CD6827">
      <w:pPr>
        <w:numPr>
          <w:ilvl w:val="0"/>
          <w:numId w:val="18"/>
        </w:numPr>
        <w:tabs>
          <w:tab w:val="left" w:pos="2826"/>
        </w:tabs>
        <w:spacing w:line="238" w:lineRule="auto"/>
        <w:ind w:left="2540" w:hanging="9"/>
        <w:jc w:val="both"/>
        <w:rPr>
          <w:rFonts w:eastAsia="Times New Roman"/>
          <w:sz w:val="20"/>
          <w:szCs w:val="20"/>
        </w:rPr>
      </w:pPr>
      <w:r>
        <w:rPr>
          <w:rFonts w:eastAsia="Times New Roman"/>
          <w:i/>
          <w:iCs/>
          <w:sz w:val="20"/>
          <w:szCs w:val="20"/>
        </w:rPr>
        <w:t>pessoa que, por qualquer outra causa, não pode oferecer resistência</w:t>
      </w:r>
      <w:r>
        <w:rPr>
          <w:rFonts w:eastAsia="Times New Roman"/>
          <w:sz w:val="20"/>
          <w:szCs w:val="20"/>
        </w:rPr>
        <w:t>. É</w:t>
      </w:r>
      <w:r>
        <w:rPr>
          <w:rFonts w:eastAsia="Times New Roman"/>
          <w:i/>
          <w:iCs/>
          <w:sz w:val="20"/>
          <w:szCs w:val="20"/>
        </w:rPr>
        <w:t xml:space="preserve"> </w:t>
      </w:r>
      <w:r>
        <w:rPr>
          <w:rFonts w:eastAsia="Times New Roman"/>
          <w:sz w:val="20"/>
          <w:szCs w:val="20"/>
        </w:rPr>
        <w:t>indiferente que o fator impossibilitante da defesa da vítima seja prévio (doença, paralisia, idade avançada, estado de coma, desmaio), pro</w:t>
      </w:r>
      <w:r>
        <w:rPr>
          <w:rFonts w:eastAsia="Times New Roman"/>
          <w:sz w:val="20"/>
          <w:szCs w:val="20"/>
        </w:rPr>
        <w:t>vocado pelo agente (ministração de sonífero ou droga na bebida da vítima, uso de anestésico etc.) ou causado por ela própria (embriaguez completa em uma festa). É necessário que o agente se aproveite do estado de incapacidade de defesa e que se demonstre q</w:t>
      </w:r>
      <w:r>
        <w:rPr>
          <w:rFonts w:eastAsia="Times New Roman"/>
          <w:sz w:val="20"/>
          <w:szCs w:val="20"/>
        </w:rPr>
        <w:t>ue este fator impossibilitava por completo a capacidade de a vítima se opor ao ator sexual. (GONÇALVES, 2011, p. 28).</w:t>
      </w:r>
    </w:p>
    <w:p w:rsidR="003F65BE" w:rsidRDefault="003F65BE">
      <w:pPr>
        <w:spacing w:line="248" w:lineRule="exact"/>
        <w:rPr>
          <w:sz w:val="20"/>
          <w:szCs w:val="20"/>
        </w:rPr>
      </w:pPr>
    </w:p>
    <w:p w:rsidR="003F65BE" w:rsidRDefault="00CD6827">
      <w:pPr>
        <w:spacing w:line="359" w:lineRule="auto"/>
        <w:ind w:left="260" w:firstLine="1133"/>
        <w:jc w:val="both"/>
        <w:rPr>
          <w:sz w:val="20"/>
          <w:szCs w:val="20"/>
        </w:rPr>
      </w:pPr>
      <w:r>
        <w:rPr>
          <w:rFonts w:eastAsia="Times New Roman"/>
          <w:sz w:val="24"/>
          <w:szCs w:val="24"/>
        </w:rPr>
        <w:t>O doutrinador Guilherme de Souza Nucci, em sua obra Código Penal Comentado (2010, p. 967) defende a continuação da discussão diante da ca</w:t>
      </w:r>
      <w:r>
        <w:rPr>
          <w:rFonts w:eastAsia="Times New Roman"/>
          <w:sz w:val="24"/>
          <w:szCs w:val="24"/>
        </w:rPr>
        <w:t>pacidade do consentimento para relação sexual daquele menor que possui 12 e 13 anos. Existindo a total capacidade de entender o ato sexual, o fato pode ser considerado atípico. Afirma-se que a vulnerabilidade é absoluta quando se trata de pessoa menor de 1</w:t>
      </w:r>
      <w:r>
        <w:rPr>
          <w:rFonts w:eastAsia="Times New Roman"/>
          <w:sz w:val="24"/>
          <w:szCs w:val="24"/>
        </w:rPr>
        <w:t>2 anos e quando se tratar de pessoa de 12 e 13 anos incompletos, a vulnerabilidade é relativa. Sendo assim, entende-se que o Código Penal deve ser interpretado de forma sistemática dentro de um conjunto de leis que compõe o ordenamento jurídico, razão pela</w:t>
      </w:r>
      <w:r>
        <w:rPr>
          <w:rFonts w:eastAsia="Times New Roman"/>
          <w:sz w:val="24"/>
          <w:szCs w:val="24"/>
        </w:rPr>
        <w:t xml:space="preserve"> qual deve observar Código Penal e compatibilizá-lo com o Estatuto da Criança e do Adolescente, inserido no ordenamento jurídico brasileiro pela lei n° 8.069, de 13 de julho de 1990, considera-se, no artigo 2°, como criança pessoa de até 12 anos incompleto</w:t>
      </w:r>
      <w:r>
        <w:rPr>
          <w:rFonts w:eastAsia="Times New Roman"/>
          <w:sz w:val="24"/>
          <w:szCs w:val="24"/>
        </w:rPr>
        <w:t>s; e adolescente aquela com idade entre 12 e 18 anos, podendo eles, até receber medida socioeducativa pela prática de infracional.</w:t>
      </w:r>
    </w:p>
    <w:p w:rsidR="003F65BE" w:rsidRDefault="003F65BE">
      <w:pPr>
        <w:spacing w:line="3" w:lineRule="exact"/>
        <w:rPr>
          <w:sz w:val="20"/>
          <w:szCs w:val="20"/>
        </w:rPr>
      </w:pPr>
    </w:p>
    <w:p w:rsidR="003F65BE" w:rsidRDefault="00CD6827">
      <w:pPr>
        <w:ind w:left="1400"/>
        <w:rPr>
          <w:sz w:val="20"/>
          <w:szCs w:val="20"/>
        </w:rPr>
      </w:pPr>
      <w:r>
        <w:rPr>
          <w:rFonts w:eastAsia="Times New Roman"/>
          <w:sz w:val="24"/>
          <w:szCs w:val="24"/>
        </w:rPr>
        <w:t>Greco (2011, p. 527) lembra que:</w:t>
      </w:r>
    </w:p>
    <w:p w:rsidR="003F65BE" w:rsidRDefault="003F65BE">
      <w:pPr>
        <w:spacing w:line="147" w:lineRule="exact"/>
        <w:rPr>
          <w:sz w:val="20"/>
          <w:szCs w:val="20"/>
        </w:rPr>
      </w:pPr>
    </w:p>
    <w:p w:rsidR="003F65BE" w:rsidRDefault="00CD6827">
      <w:pPr>
        <w:spacing w:line="238" w:lineRule="auto"/>
        <w:ind w:left="2540"/>
        <w:jc w:val="both"/>
        <w:rPr>
          <w:sz w:val="20"/>
          <w:szCs w:val="20"/>
        </w:rPr>
      </w:pPr>
      <w:r>
        <w:rPr>
          <w:rFonts w:eastAsia="Times New Roman"/>
          <w:sz w:val="20"/>
          <w:szCs w:val="20"/>
        </w:rPr>
        <w:t>A partir da década de 80 do século passado, os Tribunais, principalmente os superiores, co</w:t>
      </w:r>
      <w:r>
        <w:rPr>
          <w:rFonts w:eastAsia="Times New Roman"/>
          <w:sz w:val="20"/>
          <w:szCs w:val="20"/>
        </w:rPr>
        <w:t>meçaram a questionar a presunção da violência constante do revogado art. 224, “a”, do Código Penal, passando a entendê-la, em muitos casos, como relativa, ao argumento de que a sociedade do final do século XX e início do século XXI havia modificado signifi</w:t>
      </w:r>
      <w:r>
        <w:rPr>
          <w:rFonts w:eastAsia="Times New Roman"/>
          <w:sz w:val="20"/>
          <w:szCs w:val="20"/>
        </w:rPr>
        <w:t>cativamente, e que os menores de 14 anos não exigiam a mesma proteção que aqueles viveram quando da edição do Código Penal, em 1940.</w:t>
      </w:r>
    </w:p>
    <w:p w:rsidR="003F65BE" w:rsidRDefault="003F65BE">
      <w:pPr>
        <w:spacing w:line="14" w:lineRule="exact"/>
        <w:rPr>
          <w:sz w:val="20"/>
          <w:szCs w:val="20"/>
        </w:rPr>
      </w:pPr>
    </w:p>
    <w:p w:rsidR="003F65BE" w:rsidRDefault="00CD6827">
      <w:pPr>
        <w:spacing w:line="238" w:lineRule="auto"/>
        <w:ind w:left="2540"/>
        <w:jc w:val="both"/>
        <w:rPr>
          <w:sz w:val="20"/>
          <w:szCs w:val="20"/>
        </w:rPr>
      </w:pPr>
      <w:r>
        <w:rPr>
          <w:rFonts w:eastAsia="Times New Roman"/>
          <w:sz w:val="20"/>
          <w:szCs w:val="20"/>
        </w:rPr>
        <w:t>No entanto, doutrina e jurisprudência se desentendiam quanto a esse ponto, discutindo se a aludida presunção era de nature</w:t>
      </w:r>
      <w:r>
        <w:rPr>
          <w:rFonts w:eastAsia="Times New Roman"/>
          <w:sz w:val="20"/>
          <w:szCs w:val="20"/>
        </w:rPr>
        <w:t xml:space="preserve">za relativa </w:t>
      </w:r>
      <w:r>
        <w:rPr>
          <w:rFonts w:eastAsia="Times New Roman"/>
          <w:i/>
          <w:iCs/>
          <w:sz w:val="20"/>
          <w:szCs w:val="20"/>
        </w:rPr>
        <w:t>(iuris tantum</w:t>
      </w:r>
      <w:r>
        <w:rPr>
          <w:rFonts w:eastAsia="Times New Roman"/>
          <w:sz w:val="20"/>
          <w:szCs w:val="20"/>
        </w:rPr>
        <w:t>), que cederia diante da situação apresentada no caso concreto, ou de natureza absoluta (</w:t>
      </w:r>
      <w:r>
        <w:rPr>
          <w:rFonts w:eastAsia="Times New Roman"/>
          <w:i/>
          <w:iCs/>
          <w:sz w:val="20"/>
          <w:szCs w:val="20"/>
        </w:rPr>
        <w:t>iuris et de</w:t>
      </w:r>
      <w:r>
        <w:rPr>
          <w:rFonts w:eastAsia="Times New Roman"/>
          <w:sz w:val="20"/>
          <w:szCs w:val="20"/>
        </w:rPr>
        <w:t xml:space="preserve"> </w:t>
      </w:r>
      <w:r>
        <w:rPr>
          <w:rFonts w:eastAsia="Times New Roman"/>
          <w:i/>
          <w:iCs/>
          <w:sz w:val="20"/>
          <w:szCs w:val="20"/>
        </w:rPr>
        <w:t>iure</w:t>
      </w:r>
      <w:r>
        <w:rPr>
          <w:rFonts w:eastAsia="Times New Roman"/>
          <w:sz w:val="20"/>
          <w:szCs w:val="20"/>
        </w:rPr>
        <w:t>), não podendo ser questionada. Sempre defendemos a posição de que tal</w:t>
      </w:r>
      <w:r>
        <w:rPr>
          <w:rFonts w:eastAsia="Times New Roman"/>
          <w:i/>
          <w:iCs/>
          <w:sz w:val="20"/>
          <w:szCs w:val="20"/>
        </w:rPr>
        <w:t xml:space="preserve"> </w:t>
      </w:r>
      <w:r>
        <w:rPr>
          <w:rFonts w:eastAsia="Times New Roman"/>
          <w:sz w:val="20"/>
          <w:szCs w:val="20"/>
        </w:rPr>
        <w:t>presunção era de natureza absoluta, pois, para nós, não</w:t>
      </w:r>
      <w:r>
        <w:rPr>
          <w:rFonts w:eastAsia="Times New Roman"/>
          <w:sz w:val="20"/>
          <w:szCs w:val="20"/>
        </w:rPr>
        <w:t xml:space="preserve"> existe dado mais objetivo do que a idade.</w:t>
      </w:r>
    </w:p>
    <w:p w:rsidR="003F65BE" w:rsidRDefault="003F65BE">
      <w:pPr>
        <w:spacing w:line="232" w:lineRule="exact"/>
        <w:rPr>
          <w:sz w:val="20"/>
          <w:szCs w:val="20"/>
        </w:rPr>
      </w:pPr>
    </w:p>
    <w:p w:rsidR="003F65BE" w:rsidRDefault="00CD6827">
      <w:pPr>
        <w:ind w:left="1400"/>
        <w:rPr>
          <w:sz w:val="20"/>
          <w:szCs w:val="20"/>
        </w:rPr>
      </w:pPr>
      <w:r>
        <w:rPr>
          <w:rFonts w:eastAsia="Times New Roman"/>
          <w:sz w:val="24"/>
          <w:szCs w:val="24"/>
        </w:rPr>
        <w:t>Segundo posicionamento de Mirabete e Fabbrini (2010, p. 409):</w:t>
      </w:r>
    </w:p>
    <w:p w:rsidR="003F65BE" w:rsidRDefault="003F65BE">
      <w:pPr>
        <w:spacing w:line="147" w:lineRule="exact"/>
        <w:rPr>
          <w:sz w:val="20"/>
          <w:szCs w:val="20"/>
        </w:rPr>
      </w:pPr>
    </w:p>
    <w:p w:rsidR="003F65BE" w:rsidRDefault="00CD6827">
      <w:pPr>
        <w:spacing w:line="238" w:lineRule="auto"/>
        <w:ind w:left="2540"/>
        <w:jc w:val="both"/>
        <w:rPr>
          <w:sz w:val="20"/>
          <w:szCs w:val="20"/>
        </w:rPr>
      </w:pPr>
      <w:r>
        <w:rPr>
          <w:rFonts w:eastAsia="Times New Roman"/>
          <w:sz w:val="20"/>
          <w:szCs w:val="20"/>
        </w:rPr>
        <w:t>Diante da redação do art. 217-A, não há mais que se cogita de presunção relativa de violência, configurando-se o crime na conjunção carnal ou ato lib</w:t>
      </w:r>
      <w:r>
        <w:rPr>
          <w:rFonts w:eastAsia="Times New Roman"/>
          <w:sz w:val="20"/>
          <w:szCs w:val="20"/>
        </w:rPr>
        <w:t>idinoso praticados com menor de 14 anos, ainda quando constatado, no caso concreto, ter ele discernimento e experiência nas questões sexuais. É irrelevante também se o menor já foi corrompido ou exerce a prostituição, porque se tutela a dignidade sexual da</w:t>
      </w:r>
      <w:r>
        <w:rPr>
          <w:rFonts w:eastAsia="Times New Roman"/>
          <w:sz w:val="20"/>
          <w:szCs w:val="20"/>
        </w:rPr>
        <w:t xml:space="preserve"> pessoa independentemente de qualquer juízo moral.</w:t>
      </w:r>
    </w:p>
    <w:p w:rsidR="003F65BE" w:rsidRDefault="003F65BE">
      <w:pPr>
        <w:sectPr w:rsidR="003F65BE">
          <w:pgSz w:w="11900" w:h="16838"/>
          <w:pgMar w:top="712" w:right="1126" w:bottom="1148" w:left="1440" w:header="0" w:footer="0" w:gutter="0"/>
          <w:cols w:space="720" w:equalWidth="0">
            <w:col w:w="9340"/>
          </w:cols>
        </w:sectPr>
      </w:pPr>
    </w:p>
    <w:p w:rsidR="003F65BE" w:rsidRDefault="003F65BE">
      <w:pPr>
        <w:spacing w:line="243" w:lineRule="exact"/>
        <w:rPr>
          <w:sz w:val="20"/>
          <w:szCs w:val="20"/>
        </w:rPr>
      </w:pPr>
    </w:p>
    <w:p w:rsidR="003F65BE" w:rsidRDefault="00CD6827">
      <w:pPr>
        <w:ind w:left="1400"/>
        <w:rPr>
          <w:sz w:val="20"/>
          <w:szCs w:val="20"/>
        </w:rPr>
      </w:pPr>
      <w:r>
        <w:rPr>
          <w:rFonts w:eastAsia="Times New Roman"/>
          <w:sz w:val="23"/>
          <w:szCs w:val="23"/>
        </w:rPr>
        <w:t>Na lição de Greco (2011, p. 530):</w:t>
      </w:r>
    </w:p>
    <w:p w:rsidR="003F65BE" w:rsidRDefault="003F65BE">
      <w:pPr>
        <w:sectPr w:rsidR="003F65BE">
          <w:type w:val="continuous"/>
          <w:pgSz w:w="11900" w:h="16838"/>
          <w:pgMar w:top="712" w:right="1126" w:bottom="1148"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40</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6" w:lineRule="exact"/>
        <w:rPr>
          <w:sz w:val="20"/>
          <w:szCs w:val="20"/>
        </w:rPr>
      </w:pPr>
    </w:p>
    <w:p w:rsidR="003F65BE" w:rsidRDefault="00CD6827">
      <w:pPr>
        <w:spacing w:line="237" w:lineRule="auto"/>
        <w:ind w:left="2540"/>
        <w:jc w:val="both"/>
        <w:rPr>
          <w:sz w:val="20"/>
          <w:szCs w:val="20"/>
        </w:rPr>
      </w:pPr>
      <w:r>
        <w:rPr>
          <w:rFonts w:eastAsia="Times New Roman"/>
          <w:sz w:val="20"/>
          <w:szCs w:val="20"/>
        </w:rPr>
        <w:t xml:space="preserve">No que diz respeito à idade da vítima, para que ocorra o delito em estudo, o agente, obrigatoriamente, deverá ter </w:t>
      </w:r>
      <w:r>
        <w:rPr>
          <w:rFonts w:eastAsia="Times New Roman"/>
          <w:sz w:val="20"/>
          <w:szCs w:val="20"/>
        </w:rPr>
        <w:t>conhecimento de ser ela menor de 14 (catorze) anos, pois, caso contrário, poderá se alegado o chamado erro de tipo que, dependendo do caso concreto, poderá conduzir até mesmo à atipicidade do fato, ou à sua desclassificação para o delito de estupro, tipifi</w:t>
      </w:r>
      <w:r>
        <w:rPr>
          <w:rFonts w:eastAsia="Times New Roman"/>
          <w:sz w:val="20"/>
          <w:szCs w:val="20"/>
        </w:rPr>
        <w:t>cado no art. 213 do Código Penal.</w:t>
      </w:r>
    </w:p>
    <w:p w:rsidR="003F65BE" w:rsidRDefault="003F65BE">
      <w:pPr>
        <w:spacing w:line="349" w:lineRule="exact"/>
        <w:rPr>
          <w:sz w:val="20"/>
          <w:szCs w:val="20"/>
        </w:rPr>
      </w:pPr>
    </w:p>
    <w:p w:rsidR="003F65BE" w:rsidRDefault="00CD6827">
      <w:pPr>
        <w:ind w:left="1400"/>
        <w:rPr>
          <w:sz w:val="20"/>
          <w:szCs w:val="20"/>
        </w:rPr>
      </w:pPr>
      <w:r>
        <w:rPr>
          <w:rFonts w:eastAsia="Times New Roman"/>
          <w:sz w:val="24"/>
          <w:szCs w:val="24"/>
        </w:rPr>
        <w:t>De acordo com o comentário do referido autor:</w:t>
      </w:r>
    </w:p>
    <w:p w:rsidR="003F65BE" w:rsidRDefault="003F65BE">
      <w:pPr>
        <w:spacing w:line="147" w:lineRule="exact"/>
        <w:rPr>
          <w:sz w:val="20"/>
          <w:szCs w:val="20"/>
        </w:rPr>
      </w:pPr>
    </w:p>
    <w:p w:rsidR="003F65BE" w:rsidRDefault="00CD6827">
      <w:pPr>
        <w:spacing w:line="238" w:lineRule="auto"/>
        <w:ind w:left="2540"/>
        <w:jc w:val="both"/>
        <w:rPr>
          <w:sz w:val="20"/>
          <w:szCs w:val="20"/>
        </w:rPr>
      </w:pPr>
      <w:r>
        <w:rPr>
          <w:rFonts w:eastAsia="Times New Roman"/>
          <w:sz w:val="20"/>
          <w:szCs w:val="20"/>
        </w:rPr>
        <w:t>Assim, imagine-se a hipótese onde o agente, durante uma festa, conheça uma menina que aparentava ter mais de 18 anos devido à sua compleição física, bem como pelo modo como s</w:t>
      </w:r>
      <w:r>
        <w:rPr>
          <w:rFonts w:eastAsia="Times New Roman"/>
          <w:sz w:val="20"/>
          <w:szCs w:val="20"/>
        </w:rPr>
        <w:t>e vestia e se portava, fazendo uso de bebidas alcoólicas etc., quando, na verdade, ainda não havia completado os 14 anos (catorze) anos. O agente, envolvido pela própria vítima, resolve, com o seu consentimento, levá-la para um motel, onde com ela mantém c</w:t>
      </w:r>
      <w:r>
        <w:rPr>
          <w:rFonts w:eastAsia="Times New Roman"/>
          <w:sz w:val="20"/>
          <w:szCs w:val="20"/>
        </w:rPr>
        <w:t>onjunção carnal (...).</w:t>
      </w:r>
    </w:p>
    <w:p w:rsidR="003F65BE" w:rsidRDefault="003F65BE">
      <w:pPr>
        <w:spacing w:line="259"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 xml:space="preserve">Nas palavras de Mirabete e Fabbrini (2011) uma das principais preocupações do legislador ao elaborar a Lei nº 12.015, de 7-8-2009, consistiu em conferir aos menores de 18 anos especial proteção contra os crescentes abusos sexuais e </w:t>
      </w:r>
      <w:r>
        <w:rPr>
          <w:rFonts w:eastAsia="Times New Roman"/>
          <w:sz w:val="24"/>
          <w:szCs w:val="24"/>
        </w:rPr>
        <w:t>a proliferação da prostituição infantil e de diversas outras formas de exploração sexual. O legislador procurou, também, dar maior efetividade ao mandamento contido no artigo 227, §, 4º, da Constituição Federal, que prevê:” A lei punirá severamente o abuso</w:t>
      </w:r>
      <w:r>
        <w:rPr>
          <w:rFonts w:eastAsia="Times New Roman"/>
          <w:sz w:val="24"/>
          <w:szCs w:val="24"/>
        </w:rPr>
        <w:t>, a violência e a exploração sexual da criança e do adolescente.</w:t>
      </w:r>
    </w:p>
    <w:p w:rsidR="003F65BE" w:rsidRDefault="003F65BE">
      <w:pPr>
        <w:spacing w:line="3" w:lineRule="exact"/>
        <w:rPr>
          <w:sz w:val="20"/>
          <w:szCs w:val="20"/>
        </w:rPr>
      </w:pPr>
    </w:p>
    <w:p w:rsidR="003F65BE" w:rsidRDefault="00CD6827">
      <w:pPr>
        <w:ind w:left="1400"/>
        <w:rPr>
          <w:sz w:val="20"/>
          <w:szCs w:val="20"/>
        </w:rPr>
      </w:pPr>
      <w:r>
        <w:rPr>
          <w:rFonts w:eastAsia="Times New Roman"/>
          <w:sz w:val="24"/>
          <w:szCs w:val="24"/>
        </w:rPr>
        <w:t>Nucci critica a desproporcionalidade das penas atribuídas pela Lei nº 8.072/90:</w:t>
      </w:r>
    </w:p>
    <w:p w:rsidR="003F65BE" w:rsidRDefault="003F65BE">
      <w:pPr>
        <w:spacing w:line="150" w:lineRule="exact"/>
        <w:rPr>
          <w:sz w:val="20"/>
          <w:szCs w:val="20"/>
        </w:rPr>
      </w:pPr>
    </w:p>
    <w:p w:rsidR="003F65BE" w:rsidRDefault="00CD6827">
      <w:pPr>
        <w:spacing w:line="238" w:lineRule="auto"/>
        <w:ind w:left="2540"/>
        <w:jc w:val="both"/>
        <w:rPr>
          <w:sz w:val="20"/>
          <w:szCs w:val="20"/>
        </w:rPr>
      </w:pPr>
      <w:r>
        <w:rPr>
          <w:rFonts w:eastAsia="Times New Roman"/>
          <w:sz w:val="20"/>
          <w:szCs w:val="20"/>
        </w:rPr>
        <w:t xml:space="preserve">embora seja, evidentemente, delito grave, a cominação da pena para o mínimo de seis anos, equiparando-o à </w:t>
      </w:r>
      <w:r>
        <w:rPr>
          <w:rFonts w:eastAsia="Times New Roman"/>
          <w:sz w:val="20"/>
          <w:szCs w:val="20"/>
        </w:rPr>
        <w:t>pena mínima do homicídio simples, em nosso entendimento, fere o princípio constitucional da proporcionalidade. Há de ser feita uma reforma para readequação das sanções penais: ou se reduz a pena mínima do estupro (algo pouco provável, pois a Lei 12.015/200</w:t>
      </w:r>
      <w:r>
        <w:rPr>
          <w:rFonts w:eastAsia="Times New Roman"/>
          <w:sz w:val="20"/>
          <w:szCs w:val="20"/>
        </w:rPr>
        <w:t>9 não o fez), ou se eleva a do homicídio simples (NUCCI, 2010, p. 672).</w:t>
      </w:r>
    </w:p>
    <w:p w:rsidR="003F65BE" w:rsidRDefault="003F65BE">
      <w:pPr>
        <w:spacing w:line="242" w:lineRule="exact"/>
        <w:rPr>
          <w:sz w:val="20"/>
          <w:szCs w:val="20"/>
        </w:rPr>
      </w:pPr>
    </w:p>
    <w:p w:rsidR="003F65BE" w:rsidRDefault="00CD6827">
      <w:pPr>
        <w:spacing w:line="350" w:lineRule="auto"/>
        <w:ind w:left="260" w:firstLine="1133"/>
        <w:rPr>
          <w:sz w:val="20"/>
          <w:szCs w:val="20"/>
        </w:rPr>
      </w:pPr>
      <w:r>
        <w:rPr>
          <w:rFonts w:eastAsia="Times New Roman"/>
          <w:sz w:val="24"/>
          <w:szCs w:val="24"/>
        </w:rPr>
        <w:t>Dessa forma, Greco (2011, p.528-529) transcreve parcialmente a Justificação ao projeto que culminou com a edição a Lei nº 12.015/2009:</w:t>
      </w:r>
    </w:p>
    <w:p w:rsidR="003F65BE" w:rsidRDefault="003F65BE">
      <w:pPr>
        <w:spacing w:line="21" w:lineRule="exact"/>
        <w:rPr>
          <w:sz w:val="20"/>
          <w:szCs w:val="20"/>
        </w:rPr>
      </w:pPr>
    </w:p>
    <w:p w:rsidR="003F65BE" w:rsidRDefault="00CD6827">
      <w:pPr>
        <w:spacing w:line="239" w:lineRule="auto"/>
        <w:ind w:left="2540"/>
        <w:jc w:val="both"/>
        <w:rPr>
          <w:sz w:val="20"/>
          <w:szCs w:val="20"/>
        </w:rPr>
      </w:pPr>
      <w:r>
        <w:rPr>
          <w:rFonts w:eastAsia="Times New Roman"/>
          <w:sz w:val="20"/>
          <w:szCs w:val="20"/>
        </w:rPr>
        <w:t>O art. 217-A, que tipifica o estupro de vulnerá</w:t>
      </w:r>
      <w:r>
        <w:rPr>
          <w:rFonts w:eastAsia="Times New Roman"/>
          <w:sz w:val="20"/>
          <w:szCs w:val="20"/>
        </w:rPr>
        <w:t>veis, substitui o atual regime de presunção de violência contra criança ou adolescente menor de 14 anos, previsto no art. 224 do Código Penal. Apesar de poder a CPMI advogar que é absoluta a presunção de violência de que trata o art. 224, não é esse o ente</w:t>
      </w:r>
      <w:r>
        <w:rPr>
          <w:rFonts w:eastAsia="Times New Roman"/>
          <w:sz w:val="20"/>
          <w:szCs w:val="20"/>
        </w:rPr>
        <w:t>ndimento em muitos julgados. O projeto de reforma do Código Penal, então, destaca a vulnerabilidade de certas pessoas, não somente crianças e adolescentes com idade até 14 anos, mas também a pessoa que, por enfermidade ou deficiência mental, não possuir di</w:t>
      </w:r>
      <w:r>
        <w:rPr>
          <w:rFonts w:eastAsia="Times New Roman"/>
          <w:sz w:val="20"/>
          <w:szCs w:val="20"/>
        </w:rPr>
        <w:t>scernimento para a prática do ato sexual, e aquela que não pode, por qualquer motivo, oferecer resistência; e com essas pessoas considera como crime ter conjunção carnal ou praticar outro ato libidinoso; sem entrar no mérito da violência e sua presunção. T</w:t>
      </w:r>
      <w:r>
        <w:rPr>
          <w:rFonts w:eastAsia="Times New Roman"/>
          <w:sz w:val="20"/>
          <w:szCs w:val="20"/>
        </w:rPr>
        <w:t>rata-se de objetividade fática.</w:t>
      </w:r>
    </w:p>
    <w:p w:rsidR="003F65BE" w:rsidRDefault="003F65BE">
      <w:pPr>
        <w:spacing w:line="258"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Assim sendo, o estupro de vulnerável admite duas formas qualificadas que estão previstas nos parágrafos 3º e 4º do artigo 217-A: “§ 3º - Se da conduta resulta lesão corporal de natureza grave: Pena reclusão de 10 a 20 anos;</w:t>
      </w:r>
      <w:r>
        <w:rPr>
          <w:rFonts w:eastAsia="Times New Roman"/>
          <w:sz w:val="24"/>
          <w:szCs w:val="24"/>
        </w:rPr>
        <w:t xml:space="preserve"> § 4º - Se da conduta resulta morte: Pena – reclusão de 12 a 30 anos”.</w:t>
      </w:r>
    </w:p>
    <w:p w:rsidR="003F65BE" w:rsidRDefault="003F65BE">
      <w:pPr>
        <w:sectPr w:rsidR="003F65BE">
          <w:pgSz w:w="11900" w:h="16838"/>
          <w:pgMar w:top="699" w:right="1126" w:bottom="873"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41</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6" w:lineRule="exact"/>
        <w:rPr>
          <w:sz w:val="20"/>
          <w:szCs w:val="20"/>
        </w:rPr>
      </w:pPr>
    </w:p>
    <w:p w:rsidR="003F65BE" w:rsidRDefault="00CD6827">
      <w:pPr>
        <w:spacing w:line="239" w:lineRule="auto"/>
        <w:ind w:left="2540"/>
        <w:jc w:val="both"/>
        <w:rPr>
          <w:sz w:val="20"/>
          <w:szCs w:val="20"/>
        </w:rPr>
      </w:pPr>
      <w:r>
        <w:rPr>
          <w:rFonts w:eastAsia="Times New Roman"/>
          <w:sz w:val="20"/>
          <w:szCs w:val="20"/>
        </w:rPr>
        <w:t>Deste modo, não se justificavam as decisões dos Tribunais que queriam destruir a natureza desse dado objetivo, a fim de criar outro, subjetivo. Infelizmente,</w:t>
      </w:r>
      <w:r>
        <w:rPr>
          <w:rFonts w:eastAsia="Times New Roman"/>
          <w:sz w:val="20"/>
          <w:szCs w:val="20"/>
        </w:rPr>
        <w:t xml:space="preserve"> deixavam de lado a política criminal adotada pela legislação penal, e criavam suas próprias políticas. Não conseguiam entender, </w:t>
      </w:r>
      <w:r>
        <w:rPr>
          <w:rFonts w:eastAsia="Times New Roman"/>
          <w:i/>
          <w:iCs/>
          <w:sz w:val="20"/>
          <w:szCs w:val="20"/>
        </w:rPr>
        <w:t>permissa venia</w:t>
      </w:r>
      <w:r>
        <w:rPr>
          <w:rFonts w:eastAsia="Times New Roman"/>
          <w:sz w:val="20"/>
          <w:szCs w:val="20"/>
        </w:rPr>
        <w:t xml:space="preserve">, que a lei penal havia determinado, de forma objetiva e absoluta, que uma criança ou mesmo um adolescente menor </w:t>
      </w:r>
      <w:r>
        <w:rPr>
          <w:rFonts w:eastAsia="Times New Roman"/>
          <w:sz w:val="20"/>
          <w:szCs w:val="20"/>
        </w:rPr>
        <w:t>de 14 (quatorze) anos, por mais que tivessem uma vida desregrada sexualmente, não eram suficientemente desenvolvidos para decidir sobre seus atos sexuais. Suas personalidades ainda estavam em formação. Seu conceitos e opiniões não haviam, ainda, se consoli</w:t>
      </w:r>
      <w:r>
        <w:rPr>
          <w:rFonts w:eastAsia="Times New Roman"/>
          <w:sz w:val="20"/>
          <w:szCs w:val="20"/>
        </w:rPr>
        <w:t>dado. Dados e situações não exigidos pela lei penal eram considerados no caso concreto, a fim de se reconhecer ou mesmo afastar a presunção de violência, a exemplo do comportamento sexual da vítima, do seu relacionamento familiar, da sua vida social etc. (</w:t>
      </w:r>
      <w:r>
        <w:rPr>
          <w:rFonts w:eastAsia="Times New Roman"/>
          <w:sz w:val="20"/>
          <w:szCs w:val="20"/>
        </w:rPr>
        <w:t>GRECO, 2011, p. 528).</w:t>
      </w:r>
    </w:p>
    <w:p w:rsidR="003F65BE" w:rsidRDefault="003F65BE">
      <w:pPr>
        <w:spacing w:line="242"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Entende-se que o estupro de vulnerável é considerado uma das mais importantes inovações proporcionadas pela Lei nº 12.015/2009. Com a concepção do artigo 217-A, foi abolida a presunção de violência nos crimes sexuais, mediante a revo</w:t>
      </w:r>
      <w:r>
        <w:rPr>
          <w:rFonts w:eastAsia="Times New Roman"/>
          <w:sz w:val="24"/>
          <w:szCs w:val="24"/>
        </w:rPr>
        <w:t>gação do artigo 224 do Código Penal. O termo presunção levava a inevitáveis questionamentos. E se houvesse consentimento? E se a vítima fosse prostituta? E se existisse relação de namoro entre autor e vítima? Com o advento da Lei 12.015/09, qualquer discus</w:t>
      </w:r>
      <w:r>
        <w:rPr>
          <w:rFonts w:eastAsia="Times New Roman"/>
          <w:sz w:val="24"/>
          <w:szCs w:val="24"/>
        </w:rPr>
        <w:t>são nesse sentido foi encerrada,</w:t>
      </w:r>
    </w:p>
    <w:p w:rsidR="003F65BE" w:rsidRDefault="003F65BE">
      <w:pPr>
        <w:spacing w:line="15"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De acordo com Greco (2011, p. 528), a Lei nº 12.015/2009 ”convencionou denominar de estupro de vulnerável para identificar a situação de vulnerabilidade em que se encontra a vítima”. Para o autor, os Tribunais “não poderão</w:t>
      </w:r>
      <w:r>
        <w:rPr>
          <w:rFonts w:eastAsia="Times New Roman"/>
          <w:sz w:val="24"/>
          <w:szCs w:val="24"/>
        </w:rPr>
        <w:t xml:space="preserve"> entender de outra forma quando a vítima do ato sexual for pessoa menor de 14 anos”.</w:t>
      </w:r>
    </w:p>
    <w:p w:rsidR="003F65BE" w:rsidRDefault="003F65BE">
      <w:pPr>
        <w:spacing w:line="19" w:lineRule="exact"/>
        <w:rPr>
          <w:sz w:val="20"/>
          <w:szCs w:val="20"/>
        </w:rPr>
      </w:pPr>
    </w:p>
    <w:p w:rsidR="003F65BE" w:rsidRDefault="00CD6827">
      <w:pPr>
        <w:spacing w:line="359" w:lineRule="auto"/>
        <w:ind w:left="260" w:firstLine="1133"/>
        <w:jc w:val="both"/>
        <w:rPr>
          <w:sz w:val="20"/>
          <w:szCs w:val="20"/>
        </w:rPr>
      </w:pPr>
      <w:r>
        <w:rPr>
          <w:rFonts w:eastAsia="Times New Roman"/>
          <w:sz w:val="24"/>
          <w:szCs w:val="24"/>
        </w:rPr>
        <w:t xml:space="preserve">Em especial, no Tribunal de Justiça do Estado de Goiás - TJGO, a Doutora PLACIDINA PIRES, Juíza de Direito da 10ª Vara Criminal da Comarca de Goiânia, Estado de Goiás, </w:t>
      </w:r>
      <w:r>
        <w:rPr>
          <w:rFonts w:eastAsia="Times New Roman"/>
          <w:sz w:val="24"/>
          <w:szCs w:val="24"/>
        </w:rPr>
        <w:t>trabalha com o entendimento de que é necessária a comprovação da vulnerabilidade da vítima, o elemento objetivo para caracterização do estupro de vulnerável, para fundamentar a condenação de acusado nos crimes sexuais contra menores de 14 anos. Tendo, rece</w:t>
      </w:r>
      <w:r>
        <w:rPr>
          <w:rFonts w:eastAsia="Times New Roman"/>
          <w:sz w:val="24"/>
          <w:szCs w:val="24"/>
        </w:rPr>
        <w:t xml:space="preserve">ntemente a doutora decidido pela absolvição do acusado que manteve relação sexual com a vítima de 13 anos, decorrente de relacionamento amoroso, sendo as relações sexuais consentidas pela vítima, bem como o fato de estarem convivendo em "união estável", e </w:t>
      </w:r>
      <w:r>
        <w:rPr>
          <w:rFonts w:eastAsia="Times New Roman"/>
          <w:sz w:val="24"/>
          <w:szCs w:val="24"/>
        </w:rPr>
        <w:t>com pretensão de contrair matrimônio. A juíza, diante do caso concreto considerou que a vulnerabilidade da vítima, a época dos fatos, era relativa, e assim uma das elementares desse tipo de estupro deixaria de existir já que, por consequência, induz ao err</w:t>
      </w:r>
      <w:r>
        <w:rPr>
          <w:rFonts w:eastAsia="Times New Roman"/>
          <w:sz w:val="24"/>
          <w:szCs w:val="24"/>
        </w:rPr>
        <w:t>o de tipo, hipótese prevista no artigo 386, inciso III, do Código de Processo Penal. Veja a parte final de sua sentença prolatada nos autos de Processo n° 201202151862, aos 21/08/2013:</w:t>
      </w:r>
    </w:p>
    <w:p w:rsidR="003F65BE" w:rsidRDefault="003F65BE">
      <w:pPr>
        <w:spacing w:line="15" w:lineRule="exact"/>
        <w:rPr>
          <w:sz w:val="20"/>
          <w:szCs w:val="20"/>
        </w:rPr>
      </w:pPr>
    </w:p>
    <w:p w:rsidR="003F65BE" w:rsidRDefault="00CD6827">
      <w:pPr>
        <w:spacing w:line="237" w:lineRule="auto"/>
        <w:ind w:left="2540"/>
        <w:jc w:val="both"/>
        <w:rPr>
          <w:sz w:val="20"/>
          <w:szCs w:val="20"/>
        </w:rPr>
      </w:pPr>
      <w:r>
        <w:rPr>
          <w:rFonts w:eastAsia="Times New Roman"/>
          <w:sz w:val="20"/>
          <w:szCs w:val="20"/>
        </w:rPr>
        <w:t>ANTE O EXPOSTO, não configurada a vulnerabilidade da ofendida, element</w:t>
      </w:r>
      <w:r>
        <w:rPr>
          <w:rFonts w:eastAsia="Times New Roman"/>
          <w:sz w:val="20"/>
          <w:szCs w:val="20"/>
        </w:rPr>
        <w:t>o caracterizador do crime de estupro, com fundamento no artigo 386, inciso III, do Código de Processo Penal, tratando-se de conduta atípica, julgo improcedente o pedido contido na denúncia para o fim de ABSOLVER o acusado ... da imputação que lhe é feita.</w:t>
      </w:r>
    </w:p>
    <w:p w:rsidR="003F65BE" w:rsidRDefault="003F65BE">
      <w:pPr>
        <w:sectPr w:rsidR="003F65BE">
          <w:pgSz w:w="11900" w:h="16838"/>
          <w:pgMar w:top="699" w:right="1126" w:bottom="921"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42</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59" w:lineRule="auto"/>
        <w:ind w:left="260" w:firstLine="1133"/>
        <w:jc w:val="both"/>
        <w:rPr>
          <w:sz w:val="20"/>
          <w:szCs w:val="20"/>
        </w:rPr>
      </w:pPr>
      <w:r>
        <w:rPr>
          <w:rFonts w:eastAsia="Times New Roman"/>
          <w:sz w:val="24"/>
          <w:szCs w:val="24"/>
        </w:rPr>
        <w:t>Disse a referida juíza, que o Direito Penal não pode ser estático ao ponto de o magistrado não levar em consideração as mudanças da sociedade e, consequentemente, os conceitos e preconceitos. Desconsiderar a premissa de que o m</w:t>
      </w:r>
      <w:r>
        <w:rPr>
          <w:rFonts w:eastAsia="Times New Roman"/>
          <w:sz w:val="24"/>
          <w:szCs w:val="24"/>
        </w:rPr>
        <w:t>enor de 14 anos, pelo simples fato de ser menor, não possui condições para validar o consentimento da prática do ato sexual, não será razoável, pois o amadurecimento do adolescente é muito precoce diante do livre acesso as informações conduzidas pelas rede</w:t>
      </w:r>
      <w:r>
        <w:rPr>
          <w:rFonts w:eastAsia="Times New Roman"/>
          <w:sz w:val="24"/>
          <w:szCs w:val="24"/>
        </w:rPr>
        <w:t>s sociais no mundo, que seria cometer injustiça sob o manto da proteção da dignidade sexual do menor de 14 anos, sabendo que os jovens dessa faixa de idade já tiveram contatos sexuais consentidos com seus parceiros, utilizando o termo como "ficantes". Dian</w:t>
      </w:r>
      <w:r>
        <w:rPr>
          <w:rFonts w:eastAsia="Times New Roman"/>
          <w:sz w:val="24"/>
          <w:szCs w:val="24"/>
        </w:rPr>
        <w:t xml:space="preserve">te deste contexto social, o intérprete não pode deixar de enxergar a realidade, “pois é função do julgador manter o equilíbrio e a paz social, aplicando a lei com vista a garantir a segurança, mas também com vista a garantir o bem-estar, a tranquilidade e </w:t>
      </w:r>
      <w:r>
        <w:rPr>
          <w:rFonts w:eastAsia="Times New Roman"/>
          <w:sz w:val="24"/>
          <w:szCs w:val="24"/>
        </w:rPr>
        <w:t>a harmonia da comunidade em que se encontra inserido” (Processo n° 201202151862, TJGO, 10ª Vara Criminal, aos 21/08/2013, Dra. PLACIDINA PIRES).</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35" w:lineRule="exact"/>
        <w:rPr>
          <w:sz w:val="20"/>
          <w:szCs w:val="20"/>
        </w:rPr>
      </w:pPr>
    </w:p>
    <w:p w:rsidR="003F65BE" w:rsidRDefault="00CD6827">
      <w:pPr>
        <w:ind w:left="260"/>
        <w:rPr>
          <w:sz w:val="20"/>
          <w:szCs w:val="20"/>
        </w:rPr>
      </w:pPr>
      <w:r>
        <w:rPr>
          <w:rFonts w:eastAsia="Times New Roman"/>
          <w:b/>
          <w:bCs/>
          <w:sz w:val="24"/>
          <w:szCs w:val="24"/>
        </w:rPr>
        <w:t>3.2.1 Realidade do Sistema Penitenciário</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3"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 xml:space="preserve">No pensamento de Mirabete (2000, p. 30), quando aplicada a </w:t>
      </w:r>
      <w:r>
        <w:rPr>
          <w:rFonts w:eastAsia="Times New Roman"/>
          <w:sz w:val="24"/>
          <w:szCs w:val="24"/>
        </w:rPr>
        <w:t>pena privativa de liberdade o caráter é ressocializar, reeducar, recuperar o apenado. Sua finalidade é educativa e de natureza jurídica.</w:t>
      </w:r>
    </w:p>
    <w:p w:rsidR="003F65BE" w:rsidRDefault="003F65BE">
      <w:pPr>
        <w:spacing w:line="22"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Percebe-se pelas redes sociais e outros meios de comunicação, o sistema carcerário brasileiro está falido, está na con</w:t>
      </w:r>
      <w:r>
        <w:rPr>
          <w:rFonts w:eastAsia="Times New Roman"/>
          <w:sz w:val="24"/>
          <w:szCs w:val="24"/>
        </w:rPr>
        <w:t>tramão do que deveria ser. As condições em que vivem os condenados são de muita violência, um aparente abandono por parte do Estado, pois não cumpre com mandamentos da Constituição Federal de 1988, como preceitua o artigo 5º, inciso XLIX. Observe o exto co</w:t>
      </w:r>
      <w:r>
        <w:rPr>
          <w:rFonts w:eastAsia="Times New Roman"/>
          <w:sz w:val="24"/>
          <w:szCs w:val="24"/>
        </w:rPr>
        <w:t>nstitucional:</w:t>
      </w:r>
    </w:p>
    <w:p w:rsidR="003F65BE" w:rsidRDefault="003F65BE">
      <w:pPr>
        <w:spacing w:line="4" w:lineRule="exact"/>
        <w:rPr>
          <w:sz w:val="20"/>
          <w:szCs w:val="20"/>
        </w:rPr>
      </w:pPr>
    </w:p>
    <w:p w:rsidR="003F65BE" w:rsidRDefault="00CD6827">
      <w:pPr>
        <w:tabs>
          <w:tab w:val="left" w:pos="2940"/>
          <w:tab w:val="left" w:pos="3240"/>
          <w:tab w:val="left" w:pos="3860"/>
          <w:tab w:val="left" w:pos="4260"/>
          <w:tab w:val="left" w:pos="4860"/>
          <w:tab w:val="left" w:pos="5560"/>
          <w:tab w:val="left" w:pos="5780"/>
          <w:tab w:val="left" w:pos="6160"/>
          <w:tab w:val="left" w:pos="6600"/>
          <w:tab w:val="left" w:pos="7440"/>
          <w:tab w:val="left" w:pos="7760"/>
          <w:tab w:val="left" w:pos="8580"/>
        </w:tabs>
        <w:ind w:left="2540"/>
        <w:rPr>
          <w:sz w:val="20"/>
          <w:szCs w:val="20"/>
        </w:rPr>
      </w:pPr>
      <w:r>
        <w:rPr>
          <w:rFonts w:eastAsia="Times New Roman"/>
          <w:sz w:val="20"/>
          <w:szCs w:val="20"/>
        </w:rPr>
        <w:t>Art.</w:t>
      </w:r>
      <w:r>
        <w:rPr>
          <w:rFonts w:eastAsia="Times New Roman"/>
          <w:sz w:val="20"/>
          <w:szCs w:val="20"/>
        </w:rPr>
        <w:tab/>
        <w:t>5º</w:t>
      </w:r>
      <w:r>
        <w:rPr>
          <w:rFonts w:eastAsia="Times New Roman"/>
          <w:sz w:val="20"/>
          <w:szCs w:val="20"/>
        </w:rPr>
        <w:tab/>
        <w:t>Todos</w:t>
      </w:r>
      <w:r>
        <w:rPr>
          <w:rFonts w:eastAsia="Times New Roman"/>
          <w:sz w:val="20"/>
          <w:szCs w:val="20"/>
        </w:rPr>
        <w:tab/>
        <w:t>são</w:t>
      </w:r>
      <w:r>
        <w:rPr>
          <w:rFonts w:eastAsia="Times New Roman"/>
          <w:sz w:val="20"/>
          <w:szCs w:val="20"/>
        </w:rPr>
        <w:tab/>
        <w:t>iguais</w:t>
      </w:r>
      <w:r>
        <w:rPr>
          <w:rFonts w:eastAsia="Times New Roman"/>
          <w:sz w:val="20"/>
          <w:szCs w:val="20"/>
        </w:rPr>
        <w:tab/>
        <w:t>perante</w:t>
      </w:r>
      <w:r>
        <w:rPr>
          <w:rFonts w:eastAsia="Times New Roman"/>
          <w:sz w:val="20"/>
          <w:szCs w:val="20"/>
        </w:rPr>
        <w:tab/>
        <w:t>a</w:t>
      </w:r>
      <w:r>
        <w:rPr>
          <w:rFonts w:eastAsia="Times New Roman"/>
          <w:sz w:val="20"/>
          <w:szCs w:val="20"/>
        </w:rPr>
        <w:tab/>
        <w:t>lei,</w:t>
      </w:r>
      <w:r>
        <w:rPr>
          <w:rFonts w:eastAsia="Times New Roman"/>
          <w:sz w:val="20"/>
          <w:szCs w:val="20"/>
        </w:rPr>
        <w:tab/>
        <w:t>sem</w:t>
      </w:r>
      <w:r>
        <w:rPr>
          <w:rFonts w:eastAsia="Times New Roman"/>
          <w:sz w:val="20"/>
          <w:szCs w:val="20"/>
        </w:rPr>
        <w:tab/>
        <w:t>distinção</w:t>
      </w:r>
      <w:r>
        <w:rPr>
          <w:rFonts w:eastAsia="Times New Roman"/>
          <w:sz w:val="20"/>
          <w:szCs w:val="20"/>
        </w:rPr>
        <w:tab/>
        <w:t>de</w:t>
      </w:r>
      <w:r>
        <w:rPr>
          <w:rFonts w:eastAsia="Times New Roman"/>
          <w:sz w:val="20"/>
          <w:szCs w:val="20"/>
        </w:rPr>
        <w:tab/>
        <w:t>qualquer</w:t>
      </w:r>
      <w:r>
        <w:rPr>
          <w:sz w:val="20"/>
          <w:szCs w:val="20"/>
        </w:rPr>
        <w:tab/>
      </w:r>
      <w:r>
        <w:rPr>
          <w:rFonts w:eastAsia="Times New Roman"/>
          <w:sz w:val="19"/>
          <w:szCs w:val="19"/>
        </w:rPr>
        <w:t>natureza,</w:t>
      </w:r>
    </w:p>
    <w:p w:rsidR="003F65BE" w:rsidRDefault="00CD6827">
      <w:pPr>
        <w:ind w:left="2540"/>
        <w:rPr>
          <w:sz w:val="20"/>
          <w:szCs w:val="20"/>
        </w:rPr>
      </w:pPr>
      <w:r>
        <w:rPr>
          <w:rFonts w:eastAsia="Times New Roman"/>
          <w:sz w:val="20"/>
          <w:szCs w:val="20"/>
        </w:rPr>
        <w:t>garantindo-se aos brasileiros e aos estrangeiros residentes no País a inviolabilidade</w:t>
      </w:r>
    </w:p>
    <w:p w:rsidR="003F65BE" w:rsidRDefault="00CD6827">
      <w:pPr>
        <w:ind w:left="2540"/>
        <w:rPr>
          <w:sz w:val="20"/>
          <w:szCs w:val="20"/>
        </w:rPr>
      </w:pPr>
      <w:r>
        <w:rPr>
          <w:rFonts w:eastAsia="Times New Roman"/>
          <w:sz w:val="20"/>
          <w:szCs w:val="20"/>
        </w:rPr>
        <w:t>do direito à vida, à liberdade, à igualdade, à segurança e à propriedade, nos t</w:t>
      </w:r>
      <w:r>
        <w:rPr>
          <w:rFonts w:eastAsia="Times New Roman"/>
          <w:sz w:val="20"/>
          <w:szCs w:val="20"/>
        </w:rPr>
        <w:t>ermos</w:t>
      </w:r>
    </w:p>
    <w:p w:rsidR="003F65BE" w:rsidRDefault="00CD6827">
      <w:pPr>
        <w:ind w:left="2540"/>
        <w:rPr>
          <w:sz w:val="20"/>
          <w:szCs w:val="20"/>
        </w:rPr>
      </w:pPr>
      <w:r>
        <w:rPr>
          <w:rFonts w:eastAsia="Times New Roman"/>
          <w:sz w:val="20"/>
          <w:szCs w:val="20"/>
        </w:rPr>
        <w:t>seguintes:</w:t>
      </w:r>
    </w:p>
    <w:p w:rsidR="003F65BE" w:rsidRDefault="00CD6827">
      <w:pPr>
        <w:ind w:left="2540"/>
        <w:rPr>
          <w:sz w:val="20"/>
          <w:szCs w:val="20"/>
        </w:rPr>
      </w:pPr>
      <w:r>
        <w:rPr>
          <w:rFonts w:eastAsia="Times New Roman"/>
          <w:sz w:val="20"/>
          <w:szCs w:val="20"/>
        </w:rPr>
        <w:t>(...)</w:t>
      </w:r>
    </w:p>
    <w:p w:rsidR="003F65BE" w:rsidRDefault="003F65BE">
      <w:pPr>
        <w:spacing w:line="9" w:lineRule="exact"/>
        <w:rPr>
          <w:sz w:val="20"/>
          <w:szCs w:val="20"/>
        </w:rPr>
      </w:pPr>
    </w:p>
    <w:p w:rsidR="003F65BE" w:rsidRDefault="00CD6827">
      <w:pPr>
        <w:spacing w:line="234" w:lineRule="auto"/>
        <w:ind w:left="2540" w:right="1140"/>
        <w:rPr>
          <w:sz w:val="20"/>
          <w:szCs w:val="20"/>
        </w:rPr>
      </w:pPr>
      <w:r>
        <w:rPr>
          <w:rFonts w:eastAsia="Times New Roman"/>
          <w:sz w:val="20"/>
          <w:szCs w:val="20"/>
        </w:rPr>
        <w:t>XLIX - é assegurado aos presos o respeito à integridade física e moral; (...)</w:t>
      </w:r>
    </w:p>
    <w:p w:rsidR="003F65BE" w:rsidRDefault="003F65BE">
      <w:pPr>
        <w:spacing w:line="232" w:lineRule="exact"/>
        <w:rPr>
          <w:sz w:val="20"/>
          <w:szCs w:val="20"/>
        </w:rPr>
      </w:pPr>
    </w:p>
    <w:p w:rsidR="003F65BE" w:rsidRDefault="00CD6827">
      <w:pPr>
        <w:ind w:left="1400"/>
        <w:rPr>
          <w:sz w:val="20"/>
          <w:szCs w:val="20"/>
        </w:rPr>
      </w:pPr>
      <w:r>
        <w:rPr>
          <w:rFonts w:eastAsia="Times New Roman"/>
        </w:rPr>
        <w:t>Como Mirabete (2000, p. 31) aponta:</w:t>
      </w:r>
    </w:p>
    <w:p w:rsidR="003F65BE" w:rsidRDefault="003F65BE">
      <w:pPr>
        <w:spacing w:line="211" w:lineRule="exact"/>
        <w:rPr>
          <w:sz w:val="20"/>
          <w:szCs w:val="20"/>
        </w:rPr>
      </w:pPr>
    </w:p>
    <w:p w:rsidR="003F65BE" w:rsidRDefault="00CD6827">
      <w:pPr>
        <w:spacing w:line="236" w:lineRule="auto"/>
        <w:ind w:left="2540"/>
        <w:jc w:val="both"/>
        <w:rPr>
          <w:sz w:val="20"/>
          <w:szCs w:val="20"/>
        </w:rPr>
      </w:pPr>
      <w:r>
        <w:rPr>
          <w:rFonts w:eastAsia="Times New Roman"/>
          <w:sz w:val="20"/>
          <w:szCs w:val="20"/>
        </w:rPr>
        <w:t xml:space="preserve">A ressocialização não pode ser conseguida numa instituição como prisão, os centros de execução penal, as </w:t>
      </w:r>
      <w:r>
        <w:rPr>
          <w:rFonts w:eastAsia="Times New Roman"/>
          <w:sz w:val="20"/>
          <w:szCs w:val="20"/>
        </w:rPr>
        <w:t>penitenciárias tendem a converter-se num microcosmos na qual se reproduzem e se agravam as graves contradições que existem no sistema social exterior. (...) A pena privativa de liberdade não ressocializa, ao contrário,</w:t>
      </w:r>
    </w:p>
    <w:p w:rsidR="003F65BE" w:rsidRDefault="003F65BE">
      <w:pPr>
        <w:sectPr w:rsidR="003F65BE">
          <w:pgSz w:w="11900" w:h="16838"/>
          <w:pgMar w:top="699" w:right="1126" w:bottom="607"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43</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6" w:lineRule="exact"/>
        <w:rPr>
          <w:sz w:val="20"/>
          <w:szCs w:val="20"/>
        </w:rPr>
      </w:pPr>
    </w:p>
    <w:p w:rsidR="003F65BE" w:rsidRDefault="00CD6827">
      <w:pPr>
        <w:spacing w:line="235" w:lineRule="auto"/>
        <w:ind w:left="2540"/>
        <w:jc w:val="both"/>
        <w:rPr>
          <w:sz w:val="20"/>
          <w:szCs w:val="20"/>
        </w:rPr>
      </w:pPr>
      <w:r>
        <w:rPr>
          <w:rFonts w:eastAsia="Times New Roman"/>
          <w:sz w:val="20"/>
          <w:szCs w:val="20"/>
        </w:rPr>
        <w:t>estigmatiza o recluso, impedindo sua plena reincorporação ao meio social. A prisão não cumpre uma função ressocializadora.</w:t>
      </w:r>
    </w:p>
    <w:p w:rsidR="003F65BE" w:rsidRDefault="003F65BE">
      <w:pPr>
        <w:spacing w:line="211"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Na realidade, além do sistema penitenciário não ressocializar o condenado, ainda permite que estes condenados criem suas próprias no</w:t>
      </w:r>
      <w:r>
        <w:rPr>
          <w:rFonts w:eastAsia="Times New Roman"/>
          <w:sz w:val="24"/>
          <w:szCs w:val="24"/>
        </w:rPr>
        <w:t>rmas para disciplinar o convívio nas penitenciárias, a exemplo de não aceitar no convívio interno o condenado que pratica o crime de estupro.</w:t>
      </w:r>
    </w:p>
    <w:p w:rsidR="003F65BE" w:rsidRDefault="003F65BE">
      <w:pPr>
        <w:spacing w:line="19"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De acordo com observação feita por Vasconcelos (2007) apud Miguel (2013), um dos motivos principais que leva a pr</w:t>
      </w:r>
      <w:r>
        <w:rPr>
          <w:rFonts w:eastAsia="Times New Roman"/>
          <w:sz w:val="24"/>
          <w:szCs w:val="24"/>
        </w:rPr>
        <w:t xml:space="preserve">isão a ser da forma atual é o modelo escolhido. O modelo brasileiro possui um caráter de suposta proteção dos cidadãos e da defesa social (do patrimônio e dos indivíduos). Esse modelo ignora o transgressor e sua possível ressocialização, já que se importa </w:t>
      </w:r>
      <w:r>
        <w:rPr>
          <w:rFonts w:eastAsia="Times New Roman"/>
          <w:sz w:val="24"/>
          <w:szCs w:val="24"/>
        </w:rPr>
        <w:t>com aqueles que estão fora do sistema, buscando a segurança desses através da privação da liberdade dos indivíduos considerados perigosos para a coletividade.</w:t>
      </w:r>
    </w:p>
    <w:p w:rsidR="003F65BE" w:rsidRDefault="003F65BE">
      <w:pPr>
        <w:spacing w:line="4" w:lineRule="exact"/>
        <w:rPr>
          <w:sz w:val="20"/>
          <w:szCs w:val="20"/>
        </w:rPr>
      </w:pPr>
    </w:p>
    <w:p w:rsidR="003F65BE" w:rsidRDefault="00CD6827">
      <w:pPr>
        <w:ind w:left="1400"/>
        <w:rPr>
          <w:sz w:val="20"/>
          <w:szCs w:val="20"/>
        </w:rPr>
      </w:pPr>
      <w:r>
        <w:rPr>
          <w:rFonts w:eastAsia="Times New Roman"/>
          <w:sz w:val="24"/>
          <w:szCs w:val="24"/>
        </w:rPr>
        <w:t>Como Ribamar (2003) apud Miguel (2013, p.55) aponta:</w:t>
      </w:r>
    </w:p>
    <w:p w:rsidR="003F65BE" w:rsidRDefault="003F65BE">
      <w:pPr>
        <w:spacing w:line="199" w:lineRule="exact"/>
        <w:rPr>
          <w:sz w:val="20"/>
          <w:szCs w:val="20"/>
        </w:rPr>
      </w:pPr>
    </w:p>
    <w:p w:rsidR="003F65BE" w:rsidRDefault="00CD6827">
      <w:pPr>
        <w:ind w:left="2540"/>
        <w:rPr>
          <w:sz w:val="20"/>
          <w:szCs w:val="20"/>
        </w:rPr>
      </w:pPr>
      <w:r>
        <w:rPr>
          <w:rFonts w:eastAsia="Times New Roman"/>
          <w:sz w:val="20"/>
          <w:szCs w:val="20"/>
        </w:rPr>
        <w:t>“No Sistema Penitenciário, a maioria das v</w:t>
      </w:r>
      <w:r>
        <w:rPr>
          <w:rFonts w:eastAsia="Times New Roman"/>
          <w:sz w:val="20"/>
          <w:szCs w:val="20"/>
        </w:rPr>
        <w:t>ezes os prisioneiros ou prisioneiras estão</w:t>
      </w:r>
    </w:p>
    <w:p w:rsidR="003F65BE" w:rsidRDefault="003F65BE">
      <w:pPr>
        <w:spacing w:line="11" w:lineRule="exact"/>
        <w:rPr>
          <w:sz w:val="20"/>
          <w:szCs w:val="20"/>
        </w:rPr>
      </w:pPr>
    </w:p>
    <w:p w:rsidR="003F65BE" w:rsidRDefault="00CD6827">
      <w:pPr>
        <w:numPr>
          <w:ilvl w:val="0"/>
          <w:numId w:val="19"/>
        </w:numPr>
        <w:tabs>
          <w:tab w:val="left" w:pos="2696"/>
        </w:tabs>
        <w:spacing w:line="238" w:lineRule="auto"/>
        <w:ind w:left="2540" w:hanging="9"/>
        <w:jc w:val="both"/>
        <w:rPr>
          <w:rFonts w:eastAsia="Times New Roman"/>
          <w:sz w:val="20"/>
          <w:szCs w:val="20"/>
        </w:rPr>
      </w:pPr>
      <w:r>
        <w:rPr>
          <w:rFonts w:eastAsia="Times New Roman"/>
          <w:sz w:val="20"/>
          <w:szCs w:val="20"/>
        </w:rPr>
        <w:t xml:space="preserve">inteira disposição dos guardas de presídios, um tribunal interno sem regras fixas, sem defesa que, ‘condena’ os internos ao isolamento ou a castigos diversos”. Ele ainda menciona que “mesmo as iniciativas que </w:t>
      </w:r>
      <w:r>
        <w:rPr>
          <w:rFonts w:eastAsia="Times New Roman"/>
          <w:sz w:val="20"/>
          <w:szCs w:val="20"/>
        </w:rPr>
        <w:t>visam à formação educacional e profissional dentro das instituições carcerárias possuem, sobretudo, o objetivo de preenchimento do ócio dentro da unidade, não se constituindo efetivamente em instrumento de reeducação dos indivíduos.</w:t>
      </w:r>
    </w:p>
    <w:p w:rsidR="003F65BE" w:rsidRDefault="003F65BE">
      <w:pPr>
        <w:spacing w:line="290"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Pode-se afirmar que si</w:t>
      </w:r>
      <w:r>
        <w:rPr>
          <w:rFonts w:eastAsia="Times New Roman"/>
          <w:sz w:val="24"/>
          <w:szCs w:val="24"/>
        </w:rPr>
        <w:t>stema penitenciário que se apresenta na atualidade só não deixa de garantir tratamento digno aos condenados, como também contribui para o aumento da violência, coloca em risco a integridade física no mundo externo.</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3" w:lineRule="exact"/>
        <w:rPr>
          <w:sz w:val="20"/>
          <w:szCs w:val="20"/>
        </w:rPr>
      </w:pPr>
    </w:p>
    <w:p w:rsidR="003F65BE" w:rsidRDefault="00CD6827">
      <w:pPr>
        <w:ind w:left="260"/>
        <w:rPr>
          <w:sz w:val="20"/>
          <w:szCs w:val="20"/>
        </w:rPr>
      </w:pPr>
      <w:r>
        <w:rPr>
          <w:rFonts w:eastAsia="Times New Roman"/>
          <w:b/>
          <w:bCs/>
          <w:sz w:val="24"/>
          <w:szCs w:val="24"/>
        </w:rPr>
        <w:t>3.3 Hipóteses recorrentes em que o co</w:t>
      </w:r>
      <w:r>
        <w:rPr>
          <w:rFonts w:eastAsia="Times New Roman"/>
          <w:b/>
          <w:bCs/>
          <w:sz w:val="24"/>
          <w:szCs w:val="24"/>
        </w:rPr>
        <w:t>nsentimento da vítima descaracteriza o crime de</w:t>
      </w:r>
    </w:p>
    <w:p w:rsidR="003F65BE" w:rsidRDefault="003F65BE">
      <w:pPr>
        <w:spacing w:line="137" w:lineRule="exact"/>
        <w:rPr>
          <w:sz w:val="20"/>
          <w:szCs w:val="20"/>
        </w:rPr>
      </w:pPr>
    </w:p>
    <w:p w:rsidR="003F65BE" w:rsidRDefault="00CD6827">
      <w:pPr>
        <w:ind w:left="820"/>
        <w:rPr>
          <w:sz w:val="20"/>
          <w:szCs w:val="20"/>
        </w:rPr>
      </w:pPr>
      <w:r>
        <w:rPr>
          <w:rFonts w:eastAsia="Times New Roman"/>
          <w:b/>
          <w:bCs/>
          <w:sz w:val="24"/>
          <w:szCs w:val="24"/>
        </w:rPr>
        <w:t>estupro de vulnerável</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5"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Na questão do estupro de vulnerável menor de 14 anos, observando as recentes decisões nos tribunais brasileiros, nota-se que em alguns casos, o consentimento da vítima descaracteriz</w:t>
      </w:r>
      <w:r>
        <w:rPr>
          <w:rFonts w:eastAsia="Times New Roman"/>
          <w:sz w:val="24"/>
          <w:szCs w:val="24"/>
        </w:rPr>
        <w:t>a o crime de estupro de vulnerável, tanto nas decisões monocráticas como nas decisões de colegiados.</w:t>
      </w:r>
    </w:p>
    <w:p w:rsidR="003F65BE" w:rsidRDefault="003F65BE">
      <w:pPr>
        <w:spacing w:line="16" w:lineRule="exact"/>
        <w:rPr>
          <w:sz w:val="20"/>
          <w:szCs w:val="20"/>
        </w:rPr>
      </w:pPr>
    </w:p>
    <w:p w:rsidR="003F65BE" w:rsidRDefault="00CD6827">
      <w:pPr>
        <w:spacing w:line="350" w:lineRule="auto"/>
        <w:ind w:left="260" w:firstLine="1133"/>
        <w:jc w:val="both"/>
        <w:rPr>
          <w:sz w:val="20"/>
          <w:szCs w:val="20"/>
        </w:rPr>
      </w:pPr>
      <w:r>
        <w:rPr>
          <w:rFonts w:eastAsia="Times New Roman"/>
          <w:sz w:val="24"/>
          <w:szCs w:val="24"/>
        </w:rPr>
        <w:t xml:space="preserve">Embora o Superior Tribunal de Justiça tenha firmado sob o rito dos recursos repetitivo (artigo 543-C do Código Processo Civil), posicionamento de o </w:t>
      </w:r>
      <w:r>
        <w:rPr>
          <w:rFonts w:eastAsia="Times New Roman"/>
          <w:sz w:val="24"/>
          <w:szCs w:val="24"/>
        </w:rPr>
        <w:t>consentimento da</w:t>
      </w:r>
    </w:p>
    <w:p w:rsidR="003F65BE" w:rsidRDefault="003F65BE">
      <w:pPr>
        <w:sectPr w:rsidR="003F65BE">
          <w:pgSz w:w="11900" w:h="16838"/>
          <w:pgMar w:top="699" w:right="1126" w:bottom="806"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44</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54" w:lineRule="auto"/>
        <w:ind w:left="260"/>
        <w:jc w:val="both"/>
        <w:rPr>
          <w:sz w:val="20"/>
          <w:szCs w:val="20"/>
        </w:rPr>
      </w:pPr>
      <w:r>
        <w:rPr>
          <w:rFonts w:eastAsia="Times New Roman"/>
          <w:sz w:val="24"/>
          <w:szCs w:val="24"/>
        </w:rPr>
        <w:t>vítima menor de 14 anos é irrelevante para a descaracterização do crime de estupro de vulnerável, há alguns casos em que o consentimento deve ser considerado, como na hipótese de namoro.</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0" w:lineRule="exact"/>
        <w:rPr>
          <w:sz w:val="20"/>
          <w:szCs w:val="20"/>
        </w:rPr>
      </w:pPr>
    </w:p>
    <w:p w:rsidR="003F65BE" w:rsidRDefault="00CD6827">
      <w:pPr>
        <w:ind w:left="260"/>
        <w:rPr>
          <w:sz w:val="20"/>
          <w:szCs w:val="20"/>
        </w:rPr>
      </w:pPr>
      <w:r>
        <w:rPr>
          <w:rFonts w:eastAsia="Times New Roman"/>
          <w:b/>
          <w:bCs/>
          <w:sz w:val="24"/>
          <w:szCs w:val="24"/>
        </w:rPr>
        <w:t>3.3.1 Erro de tipo</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5" w:lineRule="exact"/>
        <w:rPr>
          <w:sz w:val="20"/>
          <w:szCs w:val="20"/>
        </w:rPr>
      </w:pPr>
    </w:p>
    <w:p w:rsidR="003F65BE" w:rsidRDefault="00CD6827">
      <w:pPr>
        <w:spacing w:line="348" w:lineRule="auto"/>
        <w:ind w:left="260" w:firstLine="1133"/>
        <w:jc w:val="both"/>
        <w:rPr>
          <w:sz w:val="20"/>
          <w:szCs w:val="20"/>
        </w:rPr>
      </w:pPr>
      <w:r>
        <w:rPr>
          <w:rFonts w:eastAsia="Times New Roman"/>
          <w:sz w:val="24"/>
          <w:szCs w:val="24"/>
        </w:rPr>
        <w:t>O dispositivo legal relativo o erro de tipo está consagrado no artigo 20 e parágrafos, do Código Penal, como se pode verifica:</w:t>
      </w:r>
    </w:p>
    <w:p w:rsidR="003F65BE" w:rsidRDefault="003F65BE">
      <w:pPr>
        <w:spacing w:line="27" w:lineRule="exact"/>
        <w:rPr>
          <w:sz w:val="20"/>
          <w:szCs w:val="20"/>
        </w:rPr>
      </w:pPr>
    </w:p>
    <w:p w:rsidR="003F65BE" w:rsidRDefault="00CD6827">
      <w:pPr>
        <w:spacing w:line="233" w:lineRule="auto"/>
        <w:ind w:left="2540" w:right="20"/>
        <w:rPr>
          <w:sz w:val="20"/>
          <w:szCs w:val="20"/>
        </w:rPr>
      </w:pPr>
      <w:r>
        <w:rPr>
          <w:rFonts w:eastAsia="Times New Roman"/>
          <w:sz w:val="20"/>
          <w:szCs w:val="20"/>
        </w:rPr>
        <w:t xml:space="preserve">Art. 20 - O erro sobre elemento constitutivo do tipo legal de crime exclui o dolo, mas permite a punição por crime culposo, </w:t>
      </w:r>
      <w:r>
        <w:rPr>
          <w:rFonts w:eastAsia="Times New Roman"/>
          <w:sz w:val="20"/>
          <w:szCs w:val="20"/>
        </w:rPr>
        <w:t>se previsto em lei.</w:t>
      </w:r>
    </w:p>
    <w:p w:rsidR="003F65BE" w:rsidRDefault="003F65BE">
      <w:pPr>
        <w:spacing w:line="12" w:lineRule="exact"/>
        <w:rPr>
          <w:sz w:val="20"/>
          <w:szCs w:val="20"/>
        </w:rPr>
      </w:pPr>
    </w:p>
    <w:p w:rsidR="003F65BE" w:rsidRDefault="00CD6827">
      <w:pPr>
        <w:numPr>
          <w:ilvl w:val="0"/>
          <w:numId w:val="20"/>
        </w:numPr>
        <w:tabs>
          <w:tab w:val="left" w:pos="2708"/>
        </w:tabs>
        <w:spacing w:line="236" w:lineRule="auto"/>
        <w:ind w:left="2540" w:hanging="9"/>
        <w:jc w:val="both"/>
        <w:rPr>
          <w:rFonts w:eastAsia="Times New Roman"/>
          <w:sz w:val="20"/>
          <w:szCs w:val="20"/>
        </w:rPr>
      </w:pPr>
      <w:r>
        <w:rPr>
          <w:rFonts w:eastAsia="Times New Roman"/>
          <w:sz w:val="20"/>
          <w:szCs w:val="20"/>
        </w:rPr>
        <w:t>1º - É isento de pena quem, por erro plenamente justificado pelas circunstâncias, supõe situação de fato que, se existisse, tornaria a ação legítima. Não há isenção de pena quando o erro deriva de culpa e o fato é punível como crime cu</w:t>
      </w:r>
      <w:r>
        <w:rPr>
          <w:rFonts w:eastAsia="Times New Roman"/>
          <w:sz w:val="20"/>
          <w:szCs w:val="20"/>
        </w:rPr>
        <w:t>lposo.</w:t>
      </w:r>
    </w:p>
    <w:p w:rsidR="003F65BE" w:rsidRDefault="003F65BE">
      <w:pPr>
        <w:spacing w:line="1" w:lineRule="exact"/>
        <w:rPr>
          <w:rFonts w:eastAsia="Times New Roman"/>
          <w:sz w:val="20"/>
          <w:szCs w:val="20"/>
        </w:rPr>
      </w:pPr>
    </w:p>
    <w:p w:rsidR="003F65BE" w:rsidRDefault="00CD6827">
      <w:pPr>
        <w:numPr>
          <w:ilvl w:val="0"/>
          <w:numId w:val="20"/>
        </w:numPr>
        <w:tabs>
          <w:tab w:val="left" w:pos="2680"/>
        </w:tabs>
        <w:ind w:left="2680" w:hanging="149"/>
        <w:rPr>
          <w:rFonts w:eastAsia="Times New Roman"/>
          <w:sz w:val="20"/>
          <w:szCs w:val="20"/>
        </w:rPr>
      </w:pPr>
      <w:r>
        <w:rPr>
          <w:rFonts w:eastAsia="Times New Roman"/>
          <w:sz w:val="20"/>
          <w:szCs w:val="20"/>
        </w:rPr>
        <w:t>2º - Responde pelo crime o terceiro que determina o erro.</w:t>
      </w:r>
    </w:p>
    <w:p w:rsidR="003F65BE" w:rsidRDefault="003F65BE">
      <w:pPr>
        <w:spacing w:line="11" w:lineRule="exact"/>
        <w:rPr>
          <w:rFonts w:eastAsia="Times New Roman"/>
          <w:sz w:val="20"/>
          <w:szCs w:val="20"/>
        </w:rPr>
      </w:pPr>
    </w:p>
    <w:p w:rsidR="003F65BE" w:rsidRDefault="00CD6827">
      <w:pPr>
        <w:numPr>
          <w:ilvl w:val="0"/>
          <w:numId w:val="20"/>
        </w:numPr>
        <w:tabs>
          <w:tab w:val="left" w:pos="2705"/>
        </w:tabs>
        <w:spacing w:line="235" w:lineRule="auto"/>
        <w:ind w:left="2540" w:right="20" w:hanging="9"/>
        <w:jc w:val="both"/>
        <w:rPr>
          <w:rFonts w:eastAsia="Times New Roman"/>
          <w:sz w:val="20"/>
          <w:szCs w:val="20"/>
        </w:rPr>
      </w:pPr>
      <w:r>
        <w:rPr>
          <w:rFonts w:eastAsia="Times New Roman"/>
          <w:sz w:val="20"/>
          <w:szCs w:val="20"/>
        </w:rPr>
        <w:t>3</w:t>
      </w:r>
      <w:r>
        <w:rPr>
          <w:rFonts w:eastAsia="Times New Roman"/>
          <w:b/>
          <w:bCs/>
          <w:sz w:val="20"/>
          <w:szCs w:val="20"/>
        </w:rPr>
        <w:t>º</w:t>
      </w:r>
      <w:r>
        <w:rPr>
          <w:rFonts w:eastAsia="Times New Roman"/>
          <w:sz w:val="20"/>
          <w:szCs w:val="20"/>
        </w:rPr>
        <w:t xml:space="preserve"> - O erro quanto à pessoa contra a qual o crime é praticado não isenta de pena. Não se consideram, neste caso, as condições ou qualidades da vítima, senão as da pessoa contra quem o agente queria praticar o crime.</w:t>
      </w:r>
    </w:p>
    <w:p w:rsidR="003F65BE" w:rsidRDefault="003F65BE">
      <w:pPr>
        <w:spacing w:line="245"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Segundo Greco (2014, p. 302), o erro de t</w:t>
      </w:r>
      <w:r>
        <w:rPr>
          <w:rFonts w:eastAsia="Times New Roman"/>
          <w:sz w:val="24"/>
          <w:szCs w:val="24"/>
        </w:rPr>
        <w:t>ipo está na conduta do agente que comete um fato criminoso desconhecendo o tipo penal. Na verdade, é quando alguém pratica uma conduta sem ter consciência de que está cometendo uma figura típica, sem a vontade própria e consciente de cometer o ato ilícito.</w:t>
      </w:r>
    </w:p>
    <w:p w:rsidR="003F65BE" w:rsidRDefault="003F65BE">
      <w:pPr>
        <w:spacing w:line="19"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Segundo o referido autor, o erro de tipo tem por consequência excluir o dolo do agente, se não houve vontade e consciência por parte do agente em praticar a conduta. Se afastado o dolo, bem como a culpa, o fato deixa de ser típico.</w:t>
      </w:r>
    </w:p>
    <w:p w:rsidR="003F65BE" w:rsidRDefault="003F65BE">
      <w:pPr>
        <w:spacing w:line="20" w:lineRule="exact"/>
        <w:rPr>
          <w:sz w:val="20"/>
          <w:szCs w:val="20"/>
        </w:rPr>
      </w:pPr>
    </w:p>
    <w:p w:rsidR="003F65BE" w:rsidRDefault="00CD6827">
      <w:pPr>
        <w:spacing w:line="350" w:lineRule="auto"/>
        <w:ind w:left="260" w:firstLine="1133"/>
        <w:jc w:val="both"/>
        <w:rPr>
          <w:sz w:val="20"/>
          <w:szCs w:val="20"/>
        </w:rPr>
      </w:pPr>
      <w:r>
        <w:rPr>
          <w:rFonts w:eastAsia="Times New Roman"/>
          <w:sz w:val="24"/>
          <w:szCs w:val="24"/>
        </w:rPr>
        <w:t xml:space="preserve">Desta forma, é </w:t>
      </w:r>
      <w:r>
        <w:rPr>
          <w:rFonts w:eastAsia="Times New Roman"/>
          <w:sz w:val="24"/>
          <w:szCs w:val="24"/>
        </w:rPr>
        <w:t>preciso que o julgador esteja atento para detectar os casos de erro de tipo, dependendo do caso concreto pode o acusado até ser absolvido.</w:t>
      </w:r>
    </w:p>
    <w:p w:rsidR="003F65BE" w:rsidRDefault="003F65BE">
      <w:pPr>
        <w:spacing w:line="23"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Segundo doutrinador Guilherme de Souza Nucci em sua obra Código Penal Comentado (2010, p. 967), para configurar o er</w:t>
      </w:r>
      <w:r>
        <w:rPr>
          <w:rFonts w:eastAsia="Times New Roman"/>
          <w:sz w:val="24"/>
          <w:szCs w:val="24"/>
        </w:rPr>
        <w:t>ro de tipo no crime de estupro de vulnerável é preciso que o agente tenha mantido relação sexual com pessoa de aparência avantajada, pessoa que tenha 12 ou 13 anos, acreditando ter mantido relação sexual com pessoa maior de 14 anos. No caso concreto, sendo</w:t>
      </w:r>
      <w:r>
        <w:rPr>
          <w:rFonts w:eastAsia="Times New Roman"/>
          <w:sz w:val="24"/>
          <w:szCs w:val="24"/>
        </w:rPr>
        <w:t xml:space="preserve"> possível o engano, a lei impõe ao julgador o reconhecimento do erro de tipo como escusável do crime, como se vê no Código Penal, no </w:t>
      </w:r>
      <w:r>
        <w:rPr>
          <w:rFonts w:eastAsia="Times New Roman"/>
          <w:i/>
          <w:iCs/>
          <w:sz w:val="24"/>
          <w:szCs w:val="24"/>
        </w:rPr>
        <w:t xml:space="preserve">caput </w:t>
      </w:r>
      <w:r>
        <w:rPr>
          <w:rFonts w:eastAsia="Times New Roman"/>
          <w:sz w:val="24"/>
          <w:szCs w:val="24"/>
        </w:rPr>
        <w:t>do artigo 20</w:t>
      </w:r>
      <w:r>
        <w:rPr>
          <w:rFonts w:eastAsia="Times New Roman"/>
          <w:i/>
          <w:iCs/>
          <w:sz w:val="24"/>
          <w:szCs w:val="24"/>
        </w:rPr>
        <w:t xml:space="preserve"> </w:t>
      </w:r>
      <w:r>
        <w:rPr>
          <w:rFonts w:eastAsia="Times New Roman"/>
          <w:sz w:val="24"/>
          <w:szCs w:val="24"/>
        </w:rPr>
        <w:t>– “O erro sobre elemento constitutivo do tipo legal de crime exclui o dolo,</w:t>
      </w:r>
      <w:r>
        <w:rPr>
          <w:rFonts w:eastAsia="Times New Roman"/>
          <w:i/>
          <w:iCs/>
          <w:sz w:val="24"/>
          <w:szCs w:val="24"/>
        </w:rPr>
        <w:t xml:space="preserve"> </w:t>
      </w:r>
      <w:r>
        <w:rPr>
          <w:rFonts w:eastAsia="Times New Roman"/>
          <w:sz w:val="24"/>
          <w:szCs w:val="24"/>
        </w:rPr>
        <w:t>mas permite a punição por cr</w:t>
      </w:r>
      <w:r>
        <w:rPr>
          <w:rFonts w:eastAsia="Times New Roman"/>
          <w:sz w:val="24"/>
          <w:szCs w:val="24"/>
        </w:rPr>
        <w:t>ime culposo, se previsto em lei”.</w:t>
      </w:r>
    </w:p>
    <w:p w:rsidR="003F65BE" w:rsidRDefault="003F65BE">
      <w:pPr>
        <w:sectPr w:rsidR="003F65BE">
          <w:pgSz w:w="11900" w:h="16838"/>
          <w:pgMar w:top="699" w:right="1126" w:bottom="1109"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45</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56" w:lineRule="auto"/>
        <w:ind w:left="260" w:firstLine="1133"/>
        <w:jc w:val="both"/>
        <w:rPr>
          <w:sz w:val="20"/>
          <w:szCs w:val="20"/>
        </w:rPr>
      </w:pPr>
      <w:r>
        <w:rPr>
          <w:rFonts w:eastAsia="Times New Roman"/>
          <w:sz w:val="24"/>
          <w:szCs w:val="24"/>
        </w:rPr>
        <w:t xml:space="preserve">Há casos nos tribunais em que o julgador tem reconhecido em suas decisões o consentimento da vítima de 14 anos para descaracterizar o crime de estupro de vulnerável, bem como a circunstância de </w:t>
      </w:r>
      <w:r>
        <w:rPr>
          <w:rFonts w:eastAsia="Times New Roman"/>
          <w:sz w:val="24"/>
          <w:szCs w:val="24"/>
        </w:rPr>
        <w:t>o vulnerável apresentar porte físico superior à idade que realmente possui, o corpo avantajado, bem definido, incompatível com a verdadeira idade.</w:t>
      </w:r>
    </w:p>
    <w:p w:rsidR="003F65BE" w:rsidRDefault="003F65BE">
      <w:pPr>
        <w:spacing w:line="19" w:lineRule="exact"/>
        <w:rPr>
          <w:sz w:val="20"/>
          <w:szCs w:val="20"/>
        </w:rPr>
      </w:pPr>
    </w:p>
    <w:p w:rsidR="003F65BE" w:rsidRDefault="00CD6827">
      <w:pPr>
        <w:spacing w:line="348" w:lineRule="auto"/>
        <w:ind w:left="260" w:firstLine="1133"/>
        <w:jc w:val="both"/>
        <w:rPr>
          <w:sz w:val="20"/>
          <w:szCs w:val="20"/>
        </w:rPr>
      </w:pPr>
      <w:r>
        <w:rPr>
          <w:rFonts w:eastAsia="Times New Roman"/>
          <w:sz w:val="24"/>
          <w:szCs w:val="24"/>
        </w:rPr>
        <w:t>Nessa linha de raciocínio, o Tribunal de Justiça do Estado de Goiás reconhece a presunção de vulnerabilidade</w:t>
      </w:r>
      <w:r>
        <w:rPr>
          <w:rFonts w:eastAsia="Times New Roman"/>
          <w:sz w:val="24"/>
          <w:szCs w:val="24"/>
        </w:rPr>
        <w:t xml:space="preserve"> relativa de acordo com o caso concreto, confira:</w:t>
      </w:r>
    </w:p>
    <w:p w:rsidR="003F65BE" w:rsidRDefault="003F65BE">
      <w:pPr>
        <w:spacing w:line="26" w:lineRule="exact"/>
        <w:rPr>
          <w:sz w:val="20"/>
          <w:szCs w:val="20"/>
        </w:rPr>
      </w:pPr>
    </w:p>
    <w:p w:rsidR="003F65BE" w:rsidRDefault="00CD6827">
      <w:pPr>
        <w:spacing w:line="239" w:lineRule="auto"/>
        <w:ind w:left="2540"/>
        <w:jc w:val="both"/>
        <w:rPr>
          <w:sz w:val="20"/>
          <w:szCs w:val="20"/>
        </w:rPr>
      </w:pPr>
      <w:r>
        <w:rPr>
          <w:rFonts w:eastAsia="Times New Roman"/>
          <w:sz w:val="20"/>
          <w:szCs w:val="20"/>
        </w:rPr>
        <w:t xml:space="preserve">APELAÇÃO CRIMINAL. ESTUPRO DE VULNERÁVEL. PRESUNÇÃO DE VULNERABILIDADE RELATIVIZADA ANTE AS CIRCUNSTÂNCIAS DO CASO CONCRETO. EXPERIÊNCIA SEXUAL ANTERIOR. CONSENTIMENTO DA MENOR. ABSOLVIÇÃO POR ATIPICIDADE </w:t>
      </w:r>
      <w:r>
        <w:rPr>
          <w:rFonts w:eastAsia="Times New Roman"/>
          <w:sz w:val="20"/>
          <w:szCs w:val="20"/>
        </w:rPr>
        <w:t xml:space="preserve">DA CONDUTA. Se o substrato probatório produzido revela que a vítima já possuía vida sexual ativa, sua aparência condizia com idade superior a real, bem como tinha conhecimento, discernimento e capacidade de resistir à conjunção carnal com ela praticada, à </w:t>
      </w:r>
      <w:r>
        <w:rPr>
          <w:rFonts w:eastAsia="Times New Roman"/>
          <w:sz w:val="20"/>
          <w:szCs w:val="20"/>
        </w:rPr>
        <w:t>qual consentiu, a absolvição, em tais casos, é a medida mais sensata, dada a atipicidade material da conduta (art. 386, inciso III, CPP). APELO PROVIDO. SENTENÇA REFORMADA. (TJGO, APELACAO CRIMINAL 219617-83.2013.8.09.0032, Rel. DES. ITANEY FRANCISCO CAMPO</w:t>
      </w:r>
      <w:r>
        <w:rPr>
          <w:rFonts w:eastAsia="Times New Roman"/>
          <w:sz w:val="20"/>
          <w:szCs w:val="20"/>
        </w:rPr>
        <w:t>S, 1A CAMARA CRIMINAL, julgado em 04/02/2014, DJe 1493 de 26/02/2014).</w:t>
      </w:r>
    </w:p>
    <w:p w:rsidR="003F65BE" w:rsidRDefault="003F65BE">
      <w:pPr>
        <w:spacing w:line="242"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 xml:space="preserve">A partir desses feitos, pode-se dizer que ainda continua o debate em torno da antiga presunção de violência relativa, agora inserida na lei 12.015/2009, como vulnerabilidade, seria ou </w:t>
      </w:r>
      <w:r>
        <w:rPr>
          <w:rFonts w:eastAsia="Times New Roman"/>
          <w:sz w:val="24"/>
          <w:szCs w:val="24"/>
        </w:rPr>
        <w:t>não relativa, a possibilidade de reconhecimento da capacidade do vulnerável em consentir com a relação sexual, levando o fato à atipicidade e, por consequência, à absolvição do acusado.</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40" w:lineRule="exact"/>
        <w:rPr>
          <w:sz w:val="20"/>
          <w:szCs w:val="20"/>
        </w:rPr>
      </w:pPr>
    </w:p>
    <w:p w:rsidR="003F65BE" w:rsidRDefault="00CD6827">
      <w:pPr>
        <w:ind w:left="260"/>
        <w:rPr>
          <w:sz w:val="20"/>
          <w:szCs w:val="20"/>
        </w:rPr>
      </w:pPr>
      <w:r>
        <w:rPr>
          <w:rFonts w:eastAsia="Times New Roman"/>
          <w:b/>
          <w:bCs/>
          <w:sz w:val="24"/>
          <w:szCs w:val="24"/>
        </w:rPr>
        <w:t>3.3.2 Namoro ou constituição de família</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Ainda observando as de</w:t>
      </w:r>
      <w:r>
        <w:rPr>
          <w:rFonts w:eastAsia="Times New Roman"/>
          <w:sz w:val="24"/>
          <w:szCs w:val="24"/>
        </w:rPr>
        <w:t>cisões nos tribunais brasileiros, percebe-se que o fato de o acusado estar namorando a vítima, ou com o intuito de constituir família também é recorrente para descaracterização da vulnerabilidade do menor de 14 anos, que pratica relação sexual com seu parc</w:t>
      </w:r>
      <w:r>
        <w:rPr>
          <w:rFonts w:eastAsia="Times New Roman"/>
          <w:sz w:val="24"/>
          <w:szCs w:val="24"/>
        </w:rPr>
        <w:t>eiro como fruto do relacionamento amoroso, por livre e espontânea vontade.</w:t>
      </w:r>
    </w:p>
    <w:p w:rsidR="003F65BE" w:rsidRDefault="003F65BE">
      <w:pPr>
        <w:spacing w:line="15"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A propósito, observe o acórdão em que os Desembargadores da Sexta Câmara Criminal do Tribunal de Justiça do Rio Grande do Sul, depois de relatar e discutir os autos, acordaram pela</w:t>
      </w:r>
      <w:r>
        <w:rPr>
          <w:rFonts w:eastAsia="Times New Roman"/>
          <w:sz w:val="24"/>
          <w:szCs w:val="24"/>
        </w:rPr>
        <w:t xml:space="preserve"> negativa do provimento ao apelo do Ministério Público, por unanimidade:</w:t>
      </w:r>
    </w:p>
    <w:p w:rsidR="003F65BE" w:rsidRDefault="003F65BE">
      <w:pPr>
        <w:spacing w:line="20" w:lineRule="exact"/>
        <w:rPr>
          <w:sz w:val="20"/>
          <w:szCs w:val="20"/>
        </w:rPr>
      </w:pPr>
    </w:p>
    <w:p w:rsidR="003F65BE" w:rsidRDefault="00CD6827">
      <w:pPr>
        <w:spacing w:line="238" w:lineRule="auto"/>
        <w:ind w:left="2540"/>
        <w:jc w:val="both"/>
        <w:rPr>
          <w:sz w:val="20"/>
          <w:szCs w:val="20"/>
        </w:rPr>
      </w:pPr>
      <w:r>
        <w:rPr>
          <w:rFonts w:eastAsia="Times New Roman"/>
          <w:sz w:val="20"/>
          <w:szCs w:val="20"/>
        </w:rPr>
        <w:t>APELAÇAO CRIMINAL. CRIME CONTRA A DIGNIDADE SEXUAL. ESTUPRO DE VULNERÁVEL. PRESUNÇÃO DE VIOLÊNCIA QUE CEDE DIANTE DAS PARTICULIRIDADES DO CASO CONCRETO. RELAÇÃO DE NAMORO ENTRE AS PA</w:t>
      </w:r>
      <w:r>
        <w:rPr>
          <w:rFonts w:eastAsia="Times New Roman"/>
          <w:sz w:val="20"/>
          <w:szCs w:val="20"/>
        </w:rPr>
        <w:t>RTES, COM CÓPULA CONSENTIDA. SENTENÇA ABSOLUTÓRIA MANTIDA. PARECER MINISTERIAL ACOLHIDO. Inviável a condenação apenas com base na equivocada ideia de que a presunção de violência</w:t>
      </w:r>
    </w:p>
    <w:p w:rsidR="003F65BE" w:rsidRDefault="003F65BE">
      <w:pPr>
        <w:sectPr w:rsidR="003F65BE">
          <w:pgSz w:w="11900" w:h="16838"/>
          <w:pgMar w:top="699" w:right="1126" w:bottom="688"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46</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6" w:lineRule="exact"/>
        <w:rPr>
          <w:sz w:val="20"/>
          <w:szCs w:val="20"/>
        </w:rPr>
      </w:pPr>
    </w:p>
    <w:p w:rsidR="003F65BE" w:rsidRDefault="00CD6827">
      <w:pPr>
        <w:spacing w:line="238" w:lineRule="auto"/>
        <w:ind w:left="2540"/>
        <w:jc w:val="both"/>
        <w:rPr>
          <w:sz w:val="20"/>
          <w:szCs w:val="20"/>
        </w:rPr>
      </w:pPr>
      <w:r>
        <w:rPr>
          <w:rFonts w:eastAsia="Times New Roman"/>
          <w:sz w:val="20"/>
          <w:szCs w:val="20"/>
        </w:rPr>
        <w:t xml:space="preserve">nos crimes sexuais seja absoluta. Caso em que a </w:t>
      </w:r>
      <w:r>
        <w:rPr>
          <w:rFonts w:eastAsia="Times New Roman"/>
          <w:sz w:val="20"/>
          <w:szCs w:val="20"/>
        </w:rPr>
        <w:t>prova dos autos deixou clara a prévia relação de namoro entre as partes, de conhecimento de ambas as famílias, bem como a prática livre e consentida de relação sexual entre réu e ofendida, ambos jovens e com pouca diferença de idade. Contexto fático que nã</w:t>
      </w:r>
      <w:r>
        <w:rPr>
          <w:rFonts w:eastAsia="Times New Roman"/>
          <w:sz w:val="20"/>
          <w:szCs w:val="20"/>
        </w:rPr>
        <w:t>o evidencia situação a configurar vulnerabilidade e ofensa à liberdade/dignidade sexual, não atraindo o interesse do Direito Penal. APELO MINISTERIAL DESPROVIDO. UNÂNIME. (APELAÇÃO CRIME, SEXTA CÂMARA CRIMINAL, N° 70050178045, COMARCA DE SÃO LEOPOLDO, TJRS</w:t>
      </w:r>
      <w:r>
        <w:rPr>
          <w:rFonts w:eastAsia="Times New Roman"/>
          <w:sz w:val="20"/>
          <w:szCs w:val="20"/>
        </w:rPr>
        <w:t>).</w:t>
      </w:r>
    </w:p>
    <w:p w:rsidR="003F65BE" w:rsidRDefault="003F65BE">
      <w:pPr>
        <w:spacing w:line="246"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Nessa decisão, a circunstância relevante não está na questão de ser o ofendido menor de 14 anos, para configurar o crime de estupro de vulnerável, outras situações devem ser analisadas no caso concreto, como a real vulnerabilidade do menor, a razão par</w:t>
      </w:r>
      <w:r>
        <w:rPr>
          <w:rFonts w:eastAsia="Times New Roman"/>
          <w:sz w:val="24"/>
          <w:szCs w:val="24"/>
        </w:rPr>
        <w:t>a o envolvimento de ambos (namoro/união estável), a pouca idade do acusado em relação à vítima, consentimento dos pais para o namoro.</w:t>
      </w:r>
    </w:p>
    <w:p w:rsidR="003F65BE" w:rsidRDefault="003F65BE">
      <w:pPr>
        <w:sectPr w:rsidR="003F65BE">
          <w:pgSz w:w="11900" w:h="16838"/>
          <w:pgMar w:top="699" w:right="1126" w:bottom="1440"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47</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1" w:lineRule="exact"/>
        <w:rPr>
          <w:sz w:val="20"/>
          <w:szCs w:val="20"/>
        </w:rPr>
      </w:pPr>
    </w:p>
    <w:p w:rsidR="003F65BE" w:rsidRDefault="00CD6827">
      <w:pPr>
        <w:ind w:left="260"/>
        <w:rPr>
          <w:sz w:val="20"/>
          <w:szCs w:val="20"/>
        </w:rPr>
      </w:pPr>
      <w:r>
        <w:rPr>
          <w:rFonts w:eastAsia="Times New Roman"/>
          <w:b/>
          <w:bCs/>
          <w:sz w:val="24"/>
          <w:szCs w:val="24"/>
        </w:rPr>
        <w:t>CONSIDERAÇOES FINAIS</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72" w:lineRule="exact"/>
        <w:rPr>
          <w:sz w:val="20"/>
          <w:szCs w:val="20"/>
        </w:rPr>
      </w:pPr>
    </w:p>
    <w:p w:rsidR="003F65BE" w:rsidRDefault="00CD6827">
      <w:pPr>
        <w:spacing w:line="354" w:lineRule="auto"/>
        <w:ind w:left="260" w:right="20" w:firstLine="1195"/>
        <w:jc w:val="both"/>
        <w:rPr>
          <w:sz w:val="20"/>
          <w:szCs w:val="20"/>
        </w:rPr>
      </w:pPr>
      <w:r>
        <w:rPr>
          <w:rFonts w:eastAsia="Times New Roman"/>
          <w:sz w:val="24"/>
          <w:szCs w:val="24"/>
        </w:rPr>
        <w:t>Importante lembrar que a Lei 12.015/2009 alterou o Título referente a</w:t>
      </w:r>
      <w:r>
        <w:rPr>
          <w:rFonts w:eastAsia="Times New Roman"/>
          <w:sz w:val="24"/>
          <w:szCs w:val="24"/>
        </w:rPr>
        <w:t>os crimes sexuais. A aplicação desta lei acarretou intensas mudanças no cenário penal do Brasil, as quais também foram elemento de estudo deste trabalho.</w:t>
      </w:r>
    </w:p>
    <w:p w:rsidR="003F65BE" w:rsidRDefault="003F65BE">
      <w:pPr>
        <w:spacing w:line="22"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Nota-se que o estupro se manifesta de diferentes formas, não se restringindo, portanto, ao comportame</w:t>
      </w:r>
      <w:r>
        <w:rPr>
          <w:rFonts w:eastAsia="Times New Roman"/>
          <w:sz w:val="24"/>
          <w:szCs w:val="24"/>
        </w:rPr>
        <w:t>nto de se constranger a vítima a praticar conjunção carnal ou qualquer ato libidinoso. Caracteriza-se o estupro também quando a vítima, apesar de visivelmente aprovar o ato, não está em plenas condições de oferecer resistência. Nesse caso, trata-se do cham</w:t>
      </w:r>
      <w:r>
        <w:rPr>
          <w:rFonts w:eastAsia="Times New Roman"/>
          <w:sz w:val="24"/>
          <w:szCs w:val="24"/>
        </w:rPr>
        <w:t>ado estupro de vulnerável (artigo 217-A, §1º, Código Penal), tema discutido ao longo deste estudo.</w:t>
      </w:r>
    </w:p>
    <w:p w:rsidR="003F65BE" w:rsidRDefault="003F65BE">
      <w:pPr>
        <w:spacing w:line="22" w:lineRule="exact"/>
        <w:rPr>
          <w:sz w:val="20"/>
          <w:szCs w:val="20"/>
        </w:rPr>
      </w:pPr>
    </w:p>
    <w:p w:rsidR="003F65BE" w:rsidRDefault="00CD6827">
      <w:pPr>
        <w:spacing w:line="358" w:lineRule="auto"/>
        <w:ind w:left="260" w:firstLine="1133"/>
        <w:jc w:val="both"/>
        <w:rPr>
          <w:sz w:val="20"/>
          <w:szCs w:val="20"/>
        </w:rPr>
      </w:pPr>
      <w:r>
        <w:rPr>
          <w:rFonts w:eastAsia="Times New Roman"/>
          <w:sz w:val="24"/>
          <w:szCs w:val="24"/>
        </w:rPr>
        <w:t xml:space="preserve">Alguns estudiosos entendem que, para que haja a caracterização do crime de estupro de vulnerável, previsto no artigo 217-A, </w:t>
      </w:r>
      <w:r>
        <w:rPr>
          <w:rFonts w:eastAsia="Times New Roman"/>
          <w:i/>
          <w:iCs/>
          <w:sz w:val="24"/>
          <w:szCs w:val="24"/>
        </w:rPr>
        <w:t>caput</w:t>
      </w:r>
      <w:r>
        <w:rPr>
          <w:rFonts w:eastAsia="Times New Roman"/>
          <w:sz w:val="24"/>
          <w:szCs w:val="24"/>
        </w:rPr>
        <w:t>, do Código Penal, basta que o autor tenha conjunção carnal ou pratique qualquer ato libidinoso com pessoa menor de 14 anos. Pela letra da lei o consentimento da vítima, sua casual experiência sexual anterior ou a existência de relacionamento amoroso entre</w:t>
      </w:r>
      <w:r>
        <w:rPr>
          <w:rFonts w:eastAsia="Times New Roman"/>
          <w:sz w:val="24"/>
          <w:szCs w:val="24"/>
        </w:rPr>
        <w:t xml:space="preserve"> o autor e a vítima não afastam a ocorrência do crime. </w:t>
      </w:r>
      <w:r>
        <w:rPr>
          <w:rFonts w:eastAsia="Times New Roman"/>
          <w:sz w:val="24"/>
          <w:szCs w:val="24"/>
          <w:highlight w:val="white"/>
        </w:rPr>
        <w:t>Entendendo melhor,</w:t>
      </w:r>
      <w:r>
        <w:rPr>
          <w:rFonts w:eastAsia="Times New Roman"/>
          <w:sz w:val="24"/>
          <w:szCs w:val="24"/>
        </w:rPr>
        <w:t xml:space="preserve"> caso a vítima já tenha tido outras relações sexuais ou mesmo tenha um relacionamento amoroso com o acusado, ainda assim a prática será considerada crime. Não consideram as mudanças f</w:t>
      </w:r>
      <w:r>
        <w:rPr>
          <w:rFonts w:eastAsia="Times New Roman"/>
          <w:sz w:val="24"/>
          <w:szCs w:val="24"/>
        </w:rPr>
        <w:t>requentemente ocorridas na sociedade, como por exemplo, as hipóteses de experiência sexual da vítima, de sua aparência e compleição física, das circunstâncias e contexto do fato, quem é o agente e sua relação com vítima, e demais circunstâncias presentes n</w:t>
      </w:r>
      <w:r>
        <w:rPr>
          <w:rFonts w:eastAsia="Times New Roman"/>
          <w:sz w:val="24"/>
          <w:szCs w:val="24"/>
        </w:rPr>
        <w:t>o fato concreto.</w:t>
      </w:r>
    </w:p>
    <w:p w:rsidR="003F65BE" w:rsidRDefault="003F65BE">
      <w:pPr>
        <w:spacing w:line="25" w:lineRule="exact"/>
        <w:rPr>
          <w:sz w:val="20"/>
          <w:szCs w:val="20"/>
        </w:rPr>
      </w:pPr>
    </w:p>
    <w:p w:rsidR="003F65BE" w:rsidRDefault="00CD6827">
      <w:pPr>
        <w:spacing w:line="354" w:lineRule="auto"/>
        <w:ind w:left="260" w:firstLine="1133"/>
        <w:jc w:val="both"/>
        <w:rPr>
          <w:sz w:val="20"/>
          <w:szCs w:val="20"/>
        </w:rPr>
      </w:pPr>
      <w:r>
        <w:rPr>
          <w:rFonts w:eastAsia="Times New Roman"/>
          <w:sz w:val="24"/>
          <w:szCs w:val="24"/>
        </w:rPr>
        <w:t>Para alguns doutrinadores, o crime de estupro existe com ou sem consentimento da vítima, com ou sem violência ou grave ameaça, uma vez que, tanto o consentimento quanto a violência não são elementos essenciais, mas acidentais do tipo.</w:t>
      </w:r>
    </w:p>
    <w:p w:rsidR="003F65BE" w:rsidRDefault="003F65BE">
      <w:pPr>
        <w:spacing w:line="20" w:lineRule="exact"/>
        <w:rPr>
          <w:sz w:val="20"/>
          <w:szCs w:val="20"/>
        </w:rPr>
      </w:pPr>
    </w:p>
    <w:p w:rsidR="003F65BE" w:rsidRDefault="00CD6827">
      <w:pPr>
        <w:spacing w:line="357" w:lineRule="auto"/>
        <w:ind w:left="260" w:firstLine="1133"/>
        <w:jc w:val="both"/>
        <w:rPr>
          <w:sz w:val="20"/>
          <w:szCs w:val="20"/>
        </w:rPr>
      </w:pPr>
      <w:r>
        <w:rPr>
          <w:rFonts w:eastAsia="Times New Roman"/>
          <w:sz w:val="24"/>
          <w:szCs w:val="24"/>
        </w:rPr>
        <w:t>Pa</w:t>
      </w:r>
      <w:r>
        <w:rPr>
          <w:rFonts w:eastAsia="Times New Roman"/>
          <w:sz w:val="24"/>
          <w:szCs w:val="24"/>
        </w:rPr>
        <w:t>ra que se configure estupro de vulnerável pressupõe, ademais, que o autor tenha ciência da espécie legal de vulnerabilidade, pois, do contrário, não agirá dolosamente, ou seja, erro de tipo. Lembrando Greco (2011), o simples fato de ter conjunção carnal ou</w:t>
      </w:r>
      <w:r>
        <w:rPr>
          <w:rFonts w:eastAsia="Times New Roman"/>
          <w:sz w:val="24"/>
          <w:szCs w:val="24"/>
        </w:rPr>
        <w:t xml:space="preserve"> prática de outro ato libidinoso com pessoa considerada vulnerável, mesmo com o consentimento desta, já importa na prática do crime.</w:t>
      </w:r>
    </w:p>
    <w:p w:rsidR="003F65BE" w:rsidRDefault="003F65BE">
      <w:pPr>
        <w:spacing w:line="19" w:lineRule="exact"/>
        <w:rPr>
          <w:sz w:val="20"/>
          <w:szCs w:val="20"/>
        </w:rPr>
      </w:pPr>
    </w:p>
    <w:p w:rsidR="003F65BE" w:rsidRDefault="00CD6827">
      <w:pPr>
        <w:spacing w:line="354" w:lineRule="auto"/>
        <w:ind w:left="260" w:right="20" w:firstLine="1133"/>
        <w:jc w:val="both"/>
        <w:rPr>
          <w:sz w:val="20"/>
          <w:szCs w:val="20"/>
        </w:rPr>
      </w:pPr>
      <w:r>
        <w:rPr>
          <w:rFonts w:eastAsia="Times New Roman"/>
          <w:sz w:val="24"/>
          <w:szCs w:val="24"/>
        </w:rPr>
        <w:t>A vulnerabilidade do menor de 14 anos está no simples fato da pessoa ser de idade inferior 14 anos, presume-se tratar de p</w:t>
      </w:r>
      <w:r>
        <w:rPr>
          <w:rFonts w:eastAsia="Times New Roman"/>
          <w:sz w:val="24"/>
          <w:szCs w:val="24"/>
        </w:rPr>
        <w:t>essoa desprovida de maturidade para validar o consentimento do ato sexual.</w:t>
      </w:r>
    </w:p>
    <w:p w:rsidR="003F65BE" w:rsidRDefault="003F65BE">
      <w:pPr>
        <w:sectPr w:rsidR="003F65BE">
          <w:pgSz w:w="11900" w:h="16838"/>
          <w:pgMar w:top="699" w:right="1126" w:bottom="512"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48</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38" w:lineRule="exact"/>
        <w:rPr>
          <w:sz w:val="20"/>
          <w:szCs w:val="20"/>
        </w:rPr>
      </w:pPr>
    </w:p>
    <w:p w:rsidR="003F65BE" w:rsidRDefault="00CD6827">
      <w:pPr>
        <w:spacing w:line="361" w:lineRule="auto"/>
        <w:ind w:left="260" w:firstLine="1133"/>
        <w:jc w:val="both"/>
        <w:rPr>
          <w:sz w:val="20"/>
          <w:szCs w:val="20"/>
        </w:rPr>
      </w:pPr>
      <w:r>
        <w:rPr>
          <w:rFonts w:eastAsia="Times New Roman"/>
          <w:sz w:val="24"/>
          <w:szCs w:val="24"/>
        </w:rPr>
        <w:t>Diante do caso concreto, descaracteriza o estupro de vulnerável, decorrente de relacionamento amoroso, sendo as relações sexuais consentidas pela vítima,</w:t>
      </w:r>
      <w:r>
        <w:rPr>
          <w:rFonts w:eastAsia="Times New Roman"/>
          <w:sz w:val="24"/>
          <w:szCs w:val="24"/>
        </w:rPr>
        <w:t xml:space="preserve"> bem como o fato de estarem convivendo em "união estável", e com pretensão de contrair matrimônio. Portanto, considera-se que a vulnerabilidade da vítima, dependendo da época dos fatos, ser relativa, e assim, uma das elementares desse tipo de estupro deixa</w:t>
      </w:r>
      <w:r>
        <w:rPr>
          <w:rFonts w:eastAsia="Times New Roman"/>
          <w:sz w:val="24"/>
          <w:szCs w:val="24"/>
        </w:rPr>
        <w:t>ria de existir e, por consequência, induz ao erro de tipo, hipótese prevista no artigo 386, inciso III, do Código de Processo Penal.</w:t>
      </w:r>
    </w:p>
    <w:p w:rsidR="003F65BE" w:rsidRDefault="003F65BE">
      <w:pPr>
        <w:spacing w:line="200" w:lineRule="exact"/>
        <w:rPr>
          <w:sz w:val="20"/>
          <w:szCs w:val="20"/>
        </w:rPr>
      </w:pPr>
    </w:p>
    <w:p w:rsidR="003F65BE" w:rsidRDefault="003F65BE">
      <w:pPr>
        <w:spacing w:line="206" w:lineRule="exact"/>
        <w:rPr>
          <w:sz w:val="20"/>
          <w:szCs w:val="20"/>
        </w:rPr>
      </w:pPr>
    </w:p>
    <w:p w:rsidR="003F65BE" w:rsidRDefault="00CD6827">
      <w:pPr>
        <w:spacing w:line="360" w:lineRule="auto"/>
        <w:ind w:left="260" w:firstLine="1133"/>
        <w:jc w:val="both"/>
        <w:rPr>
          <w:sz w:val="20"/>
          <w:szCs w:val="20"/>
        </w:rPr>
      </w:pPr>
      <w:r>
        <w:rPr>
          <w:rFonts w:eastAsia="Times New Roman"/>
          <w:sz w:val="24"/>
          <w:szCs w:val="24"/>
        </w:rPr>
        <w:t>O conteúdo da decisão, se caracteriza ou não estupro de vulnerável, em casos que o consentimento da vítima é, sem dúvida,</w:t>
      </w:r>
      <w:r>
        <w:rPr>
          <w:rFonts w:eastAsia="Times New Roman"/>
          <w:sz w:val="24"/>
          <w:szCs w:val="24"/>
        </w:rPr>
        <w:t xml:space="preserve"> polêmico e tende a ser objeto não só de elogios, mas também de críticas. Os elogios certamente orientar-se-ão na matéria de que é preciso levar em conta o comportamento das vítimas de crimes sexuais, apresentar porte físico superior à idade que realmente </w:t>
      </w:r>
      <w:r>
        <w:rPr>
          <w:rFonts w:eastAsia="Times New Roman"/>
          <w:sz w:val="24"/>
          <w:szCs w:val="24"/>
        </w:rPr>
        <w:t>possui, o corpo avantajado, bem definido, incompatível com a verdadeira idade. Já a crítica deverá persistir em que há, sim, ofensa juridicamente importante na relação sexual com menor de 14 (catorze) anos, porque se deve proteger a criança e o adolescente</w:t>
      </w:r>
      <w:r>
        <w:rPr>
          <w:rFonts w:eastAsia="Times New Roman"/>
          <w:sz w:val="24"/>
          <w:szCs w:val="24"/>
        </w:rPr>
        <w:t xml:space="preserve"> no seu desenvolvimento mental e comportamental, que ainda se encontra incompleto.</w:t>
      </w:r>
    </w:p>
    <w:p w:rsidR="003F65BE" w:rsidRDefault="003F65BE">
      <w:pPr>
        <w:spacing w:line="200" w:lineRule="exact"/>
        <w:rPr>
          <w:sz w:val="20"/>
          <w:szCs w:val="20"/>
        </w:rPr>
      </w:pPr>
    </w:p>
    <w:p w:rsidR="003F65BE" w:rsidRDefault="003F65BE">
      <w:pPr>
        <w:spacing w:line="216" w:lineRule="exact"/>
        <w:rPr>
          <w:sz w:val="20"/>
          <w:szCs w:val="20"/>
        </w:rPr>
      </w:pPr>
    </w:p>
    <w:p w:rsidR="003F65BE" w:rsidRDefault="00CD6827">
      <w:pPr>
        <w:spacing w:line="356" w:lineRule="auto"/>
        <w:ind w:left="260" w:right="20" w:firstLine="1195"/>
        <w:jc w:val="both"/>
        <w:rPr>
          <w:sz w:val="20"/>
          <w:szCs w:val="20"/>
        </w:rPr>
      </w:pPr>
      <w:r>
        <w:rPr>
          <w:rFonts w:eastAsia="Times New Roman"/>
          <w:sz w:val="24"/>
          <w:szCs w:val="24"/>
        </w:rPr>
        <w:t>Importante destacar que, outras circunstâncias devem ser avaliadas no caso concreto como a real vulnerabilidade do menor, a razão para o envolvimento de ambos (namoro/uniã</w:t>
      </w:r>
      <w:r>
        <w:rPr>
          <w:rFonts w:eastAsia="Times New Roman"/>
          <w:sz w:val="24"/>
          <w:szCs w:val="24"/>
        </w:rPr>
        <w:t>o estável), a pouca idade do acusado em relação vítima, consentimento dos pais para o namoro.</w:t>
      </w:r>
    </w:p>
    <w:p w:rsidR="003F65BE" w:rsidRDefault="003F65BE">
      <w:pPr>
        <w:sectPr w:rsidR="003F65BE">
          <w:pgSz w:w="11900" w:h="16838"/>
          <w:pgMar w:top="699" w:right="1126" w:bottom="1440" w:left="1440" w:header="0" w:footer="0" w:gutter="0"/>
          <w:cols w:space="720" w:equalWidth="0">
            <w:col w:w="9340"/>
          </w:cols>
        </w:sectPr>
      </w:pPr>
    </w:p>
    <w:p w:rsidR="003F65BE" w:rsidRDefault="00CD6827">
      <w:pPr>
        <w:ind w:left="9120"/>
        <w:rPr>
          <w:sz w:val="20"/>
          <w:szCs w:val="20"/>
        </w:rPr>
      </w:pPr>
      <w:r>
        <w:rPr>
          <w:rFonts w:ascii="Calibri" w:eastAsia="Calibri" w:hAnsi="Calibri" w:cs="Calibri"/>
          <w:sz w:val="21"/>
          <w:szCs w:val="21"/>
        </w:rPr>
        <w:lastRenderedPageBreak/>
        <w:t>49</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28" w:lineRule="exact"/>
        <w:rPr>
          <w:sz w:val="20"/>
          <w:szCs w:val="20"/>
        </w:rPr>
      </w:pPr>
    </w:p>
    <w:p w:rsidR="003F65BE" w:rsidRDefault="00CD6827">
      <w:pPr>
        <w:ind w:left="260"/>
        <w:rPr>
          <w:sz w:val="20"/>
          <w:szCs w:val="20"/>
        </w:rPr>
      </w:pPr>
      <w:r>
        <w:rPr>
          <w:rFonts w:eastAsia="Times New Roman"/>
          <w:b/>
          <w:bCs/>
          <w:sz w:val="24"/>
          <w:szCs w:val="24"/>
        </w:rPr>
        <w:t>REFERÊNCIAS</w:t>
      </w:r>
    </w:p>
    <w:p w:rsidR="003F65BE" w:rsidRDefault="003F65BE">
      <w:pPr>
        <w:spacing w:line="200" w:lineRule="exact"/>
        <w:rPr>
          <w:sz w:val="20"/>
          <w:szCs w:val="20"/>
        </w:rPr>
      </w:pPr>
    </w:p>
    <w:p w:rsidR="003F65BE" w:rsidRDefault="003F65BE">
      <w:pPr>
        <w:spacing w:line="359" w:lineRule="exact"/>
        <w:rPr>
          <w:sz w:val="20"/>
          <w:szCs w:val="20"/>
        </w:rPr>
      </w:pPr>
    </w:p>
    <w:p w:rsidR="003F65BE" w:rsidRDefault="00CD6827">
      <w:pPr>
        <w:spacing w:line="234" w:lineRule="auto"/>
        <w:ind w:left="260"/>
        <w:rPr>
          <w:sz w:val="20"/>
          <w:szCs w:val="20"/>
        </w:rPr>
      </w:pPr>
      <w:r>
        <w:rPr>
          <w:rFonts w:eastAsia="Times New Roman"/>
          <w:sz w:val="24"/>
          <w:szCs w:val="24"/>
        </w:rPr>
        <w:t xml:space="preserve">ABREU, Jusélia Quadros de, SILVA, Mariana de Oliveira. </w:t>
      </w:r>
      <w:r>
        <w:rPr>
          <w:rFonts w:eastAsia="Times New Roman"/>
          <w:b/>
          <w:bCs/>
          <w:sz w:val="24"/>
          <w:szCs w:val="24"/>
        </w:rPr>
        <w:t>Estupro de vulnerável:</w:t>
      </w:r>
      <w:r>
        <w:rPr>
          <w:rFonts w:eastAsia="Times New Roman"/>
          <w:sz w:val="24"/>
          <w:szCs w:val="24"/>
        </w:rPr>
        <w:t xml:space="preserve"> crime hediondo. uma análise de seus elemen</w:t>
      </w:r>
      <w:r>
        <w:rPr>
          <w:rFonts w:eastAsia="Times New Roman"/>
          <w:sz w:val="24"/>
          <w:szCs w:val="24"/>
        </w:rPr>
        <w:t>tos constitutivos e principais discussões que envolvem</w:t>
      </w:r>
    </w:p>
    <w:p w:rsidR="003F65BE" w:rsidRDefault="003F65BE">
      <w:pPr>
        <w:spacing w:line="14" w:lineRule="exact"/>
        <w:rPr>
          <w:sz w:val="20"/>
          <w:szCs w:val="20"/>
        </w:rPr>
      </w:pPr>
    </w:p>
    <w:p w:rsidR="003F65BE" w:rsidRDefault="00CD6827">
      <w:pPr>
        <w:numPr>
          <w:ilvl w:val="0"/>
          <w:numId w:val="21"/>
        </w:numPr>
        <w:tabs>
          <w:tab w:val="left" w:pos="459"/>
        </w:tabs>
        <w:spacing w:line="236" w:lineRule="auto"/>
        <w:ind w:left="260" w:firstLine="2"/>
        <w:rPr>
          <w:rFonts w:eastAsia="Times New Roman"/>
          <w:sz w:val="24"/>
          <w:szCs w:val="24"/>
        </w:rPr>
      </w:pPr>
      <w:r>
        <w:rPr>
          <w:rFonts w:eastAsia="Times New Roman"/>
          <w:sz w:val="24"/>
          <w:szCs w:val="24"/>
        </w:rPr>
        <w:t>tipo penal. Disponível em http://www.webartigos.com/artigos/estupro-de-vulneravel-crime-hediondo-uma-analise-de-seus-elementos-constitutivos-e-principais-discussoes-que-envolvem-o-tipo-penal/67198/ Ac</w:t>
      </w:r>
      <w:r>
        <w:rPr>
          <w:rFonts w:eastAsia="Times New Roman"/>
          <w:sz w:val="24"/>
          <w:szCs w:val="24"/>
        </w:rPr>
        <w:t>esso em 05 jun 2015.</w:t>
      </w:r>
    </w:p>
    <w:p w:rsidR="003F65BE" w:rsidRDefault="003F65BE">
      <w:pPr>
        <w:spacing w:line="290" w:lineRule="exact"/>
        <w:rPr>
          <w:sz w:val="20"/>
          <w:szCs w:val="20"/>
        </w:rPr>
      </w:pPr>
    </w:p>
    <w:p w:rsidR="003F65BE" w:rsidRDefault="00CD6827">
      <w:pPr>
        <w:spacing w:line="234" w:lineRule="auto"/>
        <w:ind w:left="260"/>
        <w:jc w:val="both"/>
        <w:rPr>
          <w:sz w:val="20"/>
          <w:szCs w:val="20"/>
        </w:rPr>
      </w:pPr>
      <w:r>
        <w:rPr>
          <w:rFonts w:eastAsia="Times New Roman"/>
          <w:sz w:val="24"/>
          <w:szCs w:val="24"/>
        </w:rPr>
        <w:t xml:space="preserve">ALEXY, Robert. </w:t>
      </w:r>
      <w:r>
        <w:rPr>
          <w:rFonts w:eastAsia="Times New Roman"/>
          <w:b/>
          <w:bCs/>
          <w:sz w:val="24"/>
          <w:szCs w:val="24"/>
        </w:rPr>
        <w:t>Teoria de los Derechos Fundamentales</w:t>
      </w:r>
      <w:r>
        <w:rPr>
          <w:rFonts w:eastAsia="Times New Roman"/>
          <w:sz w:val="24"/>
          <w:szCs w:val="24"/>
        </w:rPr>
        <w:t>. Madri: Centro de Estúdios Políticos y Constitucionales, 2001.</w:t>
      </w:r>
    </w:p>
    <w:p w:rsidR="003F65BE" w:rsidRDefault="003F65BE">
      <w:pPr>
        <w:spacing w:line="278" w:lineRule="exact"/>
        <w:rPr>
          <w:sz w:val="20"/>
          <w:szCs w:val="20"/>
        </w:rPr>
      </w:pPr>
    </w:p>
    <w:p w:rsidR="003F65BE" w:rsidRDefault="00CD6827">
      <w:pPr>
        <w:ind w:left="260"/>
        <w:rPr>
          <w:sz w:val="20"/>
          <w:szCs w:val="20"/>
        </w:rPr>
      </w:pPr>
      <w:r>
        <w:rPr>
          <w:rFonts w:eastAsia="Times New Roman"/>
          <w:sz w:val="24"/>
          <w:szCs w:val="24"/>
        </w:rPr>
        <w:t xml:space="preserve">ÁVILA, Humberto. </w:t>
      </w:r>
      <w:r>
        <w:rPr>
          <w:rFonts w:eastAsia="Times New Roman"/>
          <w:b/>
          <w:bCs/>
          <w:sz w:val="24"/>
          <w:szCs w:val="24"/>
        </w:rPr>
        <w:t>Teoria dos princípios</w:t>
      </w:r>
      <w:r>
        <w:rPr>
          <w:rFonts w:eastAsia="Times New Roman"/>
          <w:sz w:val="24"/>
          <w:szCs w:val="24"/>
        </w:rPr>
        <w:t>: da definição à aplicação dos princípios jurídicos.</w:t>
      </w:r>
    </w:p>
    <w:p w:rsidR="003F65BE" w:rsidRDefault="003F65BE">
      <w:pPr>
        <w:spacing w:line="1" w:lineRule="exact"/>
        <w:rPr>
          <w:sz w:val="20"/>
          <w:szCs w:val="20"/>
        </w:rPr>
      </w:pPr>
    </w:p>
    <w:p w:rsidR="003F65BE" w:rsidRDefault="00CD6827">
      <w:pPr>
        <w:ind w:left="260"/>
        <w:rPr>
          <w:sz w:val="20"/>
          <w:szCs w:val="20"/>
        </w:rPr>
      </w:pPr>
      <w:r>
        <w:rPr>
          <w:rFonts w:eastAsia="Times New Roman"/>
          <w:sz w:val="24"/>
          <w:szCs w:val="24"/>
        </w:rPr>
        <w:t xml:space="preserve">São Paulo: Malheiros </w:t>
      </w:r>
      <w:r>
        <w:rPr>
          <w:rFonts w:eastAsia="Times New Roman"/>
          <w:sz w:val="24"/>
          <w:szCs w:val="24"/>
        </w:rPr>
        <w:t>Editores, 2007.</w:t>
      </w:r>
    </w:p>
    <w:p w:rsidR="003F65BE" w:rsidRDefault="003F65BE">
      <w:pPr>
        <w:spacing w:line="276" w:lineRule="exact"/>
        <w:rPr>
          <w:sz w:val="20"/>
          <w:szCs w:val="20"/>
        </w:rPr>
      </w:pPr>
    </w:p>
    <w:p w:rsidR="003F65BE" w:rsidRDefault="00CD6827">
      <w:pPr>
        <w:ind w:left="260"/>
        <w:rPr>
          <w:sz w:val="20"/>
          <w:szCs w:val="20"/>
        </w:rPr>
      </w:pPr>
      <w:r>
        <w:rPr>
          <w:rFonts w:eastAsia="Times New Roman"/>
          <w:b/>
          <w:bCs/>
          <w:sz w:val="24"/>
          <w:szCs w:val="24"/>
        </w:rPr>
        <w:t>Abuso Sexual</w:t>
      </w:r>
      <w:r>
        <w:rPr>
          <w:rFonts w:eastAsia="Times New Roman"/>
          <w:sz w:val="24"/>
          <w:szCs w:val="24"/>
        </w:rPr>
        <w:t>: mitos e realidade. Revista Abrapia - Associação Brasileira Multiprofissional</w:t>
      </w:r>
    </w:p>
    <w:p w:rsidR="003F65BE" w:rsidRDefault="00CD6827">
      <w:pPr>
        <w:ind w:left="260"/>
        <w:rPr>
          <w:sz w:val="20"/>
          <w:szCs w:val="20"/>
        </w:rPr>
      </w:pPr>
      <w:r>
        <w:rPr>
          <w:rFonts w:eastAsia="Times New Roman"/>
          <w:sz w:val="24"/>
          <w:szCs w:val="24"/>
        </w:rPr>
        <w:t>de Proteção à Infância e Adolescência. São Paulo: Agentes associados, 2002.</w:t>
      </w:r>
    </w:p>
    <w:p w:rsidR="003F65BE" w:rsidRDefault="003F65BE">
      <w:pPr>
        <w:spacing w:line="288" w:lineRule="exact"/>
        <w:rPr>
          <w:sz w:val="20"/>
          <w:szCs w:val="20"/>
        </w:rPr>
      </w:pPr>
    </w:p>
    <w:p w:rsidR="003F65BE" w:rsidRDefault="00CD6827">
      <w:pPr>
        <w:spacing w:line="236" w:lineRule="auto"/>
        <w:ind w:left="260"/>
        <w:jc w:val="both"/>
        <w:rPr>
          <w:sz w:val="20"/>
          <w:szCs w:val="20"/>
        </w:rPr>
      </w:pPr>
      <w:r>
        <w:rPr>
          <w:rFonts w:eastAsia="Times New Roman"/>
          <w:sz w:val="24"/>
          <w:szCs w:val="24"/>
        </w:rPr>
        <w:t xml:space="preserve">ARANTES, M. </w:t>
      </w:r>
      <w:r>
        <w:rPr>
          <w:rFonts w:eastAsia="Times New Roman"/>
          <w:b/>
          <w:bCs/>
          <w:sz w:val="24"/>
          <w:szCs w:val="24"/>
        </w:rPr>
        <w:t xml:space="preserve">A afetividade no vínculo mãe e filha de adolescentes </w:t>
      </w:r>
      <w:r>
        <w:rPr>
          <w:rFonts w:eastAsia="Times New Roman"/>
          <w:b/>
          <w:bCs/>
          <w:sz w:val="24"/>
          <w:szCs w:val="24"/>
        </w:rPr>
        <w:t>vítimas de abuso</w:t>
      </w:r>
      <w:r>
        <w:rPr>
          <w:rFonts w:eastAsia="Times New Roman"/>
          <w:sz w:val="24"/>
          <w:szCs w:val="24"/>
        </w:rPr>
        <w:t xml:space="preserve"> </w:t>
      </w:r>
      <w:r>
        <w:rPr>
          <w:rFonts w:eastAsia="Times New Roman"/>
          <w:b/>
          <w:bCs/>
          <w:sz w:val="24"/>
          <w:szCs w:val="24"/>
        </w:rPr>
        <w:t>sexual</w:t>
      </w:r>
      <w:r>
        <w:rPr>
          <w:rFonts w:eastAsia="Times New Roman"/>
          <w:sz w:val="24"/>
          <w:szCs w:val="24"/>
        </w:rPr>
        <w:t>. Dissertação (Mestrado em Psicologia Clínica e Cultura). Universidade de Brasília.</w:t>
      </w:r>
      <w:r>
        <w:rPr>
          <w:rFonts w:eastAsia="Times New Roman"/>
          <w:b/>
          <w:bCs/>
          <w:sz w:val="24"/>
          <w:szCs w:val="24"/>
        </w:rPr>
        <w:t xml:space="preserve"> </w:t>
      </w:r>
      <w:r>
        <w:rPr>
          <w:rFonts w:eastAsia="Times New Roman"/>
          <w:sz w:val="24"/>
          <w:szCs w:val="24"/>
        </w:rPr>
        <w:t>Brasília. 2009.</w:t>
      </w:r>
    </w:p>
    <w:p w:rsidR="003F65BE" w:rsidRDefault="003F65BE">
      <w:pPr>
        <w:spacing w:line="278" w:lineRule="exact"/>
        <w:rPr>
          <w:sz w:val="20"/>
          <w:szCs w:val="20"/>
        </w:rPr>
      </w:pPr>
    </w:p>
    <w:p w:rsidR="003F65BE" w:rsidRDefault="00CD6827">
      <w:pPr>
        <w:ind w:left="260"/>
        <w:rPr>
          <w:sz w:val="20"/>
          <w:szCs w:val="20"/>
        </w:rPr>
      </w:pPr>
      <w:r>
        <w:rPr>
          <w:rFonts w:eastAsia="Times New Roman"/>
          <w:sz w:val="24"/>
          <w:szCs w:val="24"/>
        </w:rPr>
        <w:t xml:space="preserve">BRASIL. </w:t>
      </w:r>
      <w:r>
        <w:rPr>
          <w:rFonts w:eastAsia="Times New Roman"/>
          <w:b/>
          <w:bCs/>
          <w:sz w:val="24"/>
          <w:szCs w:val="24"/>
        </w:rPr>
        <w:t>Estatuto da criança e do adolescente</w:t>
      </w:r>
      <w:r>
        <w:rPr>
          <w:rFonts w:eastAsia="Times New Roman"/>
          <w:sz w:val="24"/>
          <w:szCs w:val="24"/>
        </w:rPr>
        <w:t>. Lei 8.069/90, de 13 de julho de 1990.</w:t>
      </w:r>
    </w:p>
    <w:p w:rsidR="003F65BE" w:rsidRDefault="00CD6827">
      <w:pPr>
        <w:ind w:left="260"/>
        <w:rPr>
          <w:sz w:val="20"/>
          <w:szCs w:val="20"/>
        </w:rPr>
      </w:pPr>
      <w:r>
        <w:rPr>
          <w:rFonts w:eastAsia="Times New Roman"/>
          <w:sz w:val="24"/>
          <w:szCs w:val="24"/>
        </w:rPr>
        <w:t>Brasília: Senado Federal, 1990.</w:t>
      </w:r>
    </w:p>
    <w:p w:rsidR="003F65BE" w:rsidRDefault="003F65BE">
      <w:pPr>
        <w:spacing w:line="288" w:lineRule="exact"/>
        <w:rPr>
          <w:sz w:val="20"/>
          <w:szCs w:val="20"/>
        </w:rPr>
      </w:pPr>
    </w:p>
    <w:p w:rsidR="003F65BE" w:rsidRDefault="00CD6827">
      <w:pPr>
        <w:spacing w:line="233" w:lineRule="auto"/>
        <w:ind w:left="260" w:right="20"/>
        <w:jc w:val="both"/>
        <w:rPr>
          <w:sz w:val="20"/>
          <w:szCs w:val="20"/>
        </w:rPr>
      </w:pPr>
      <w:r>
        <w:rPr>
          <w:rFonts w:eastAsia="Times New Roman"/>
          <w:sz w:val="24"/>
          <w:szCs w:val="24"/>
        </w:rPr>
        <w:t xml:space="preserve">BRASIL. </w:t>
      </w:r>
      <w:r>
        <w:rPr>
          <w:rFonts w:eastAsia="Times New Roman"/>
          <w:b/>
          <w:bCs/>
          <w:sz w:val="24"/>
          <w:szCs w:val="24"/>
        </w:rPr>
        <w:t>Constit</w:t>
      </w:r>
      <w:r>
        <w:rPr>
          <w:rFonts w:eastAsia="Times New Roman"/>
          <w:b/>
          <w:bCs/>
          <w:sz w:val="24"/>
          <w:szCs w:val="24"/>
        </w:rPr>
        <w:t>uição (1988</w:t>
      </w:r>
      <w:r>
        <w:rPr>
          <w:rFonts w:eastAsia="Times New Roman"/>
          <w:sz w:val="24"/>
          <w:szCs w:val="24"/>
        </w:rPr>
        <w:t>). Constituição da República Federativa do Brasil. Brasília, DF, Senado,1998.</w:t>
      </w:r>
    </w:p>
    <w:p w:rsidR="003F65BE" w:rsidRDefault="003F65BE">
      <w:pPr>
        <w:spacing w:line="2" w:lineRule="exact"/>
        <w:rPr>
          <w:sz w:val="20"/>
          <w:szCs w:val="20"/>
        </w:rPr>
      </w:pPr>
    </w:p>
    <w:p w:rsidR="003F65BE" w:rsidRDefault="00CD6827">
      <w:pPr>
        <w:ind w:left="260"/>
        <w:rPr>
          <w:sz w:val="20"/>
          <w:szCs w:val="20"/>
        </w:rPr>
      </w:pPr>
      <w:r>
        <w:rPr>
          <w:rFonts w:eastAsia="Times New Roman"/>
          <w:sz w:val="24"/>
          <w:szCs w:val="24"/>
        </w:rPr>
        <w:t xml:space="preserve">BITENCOURT, Cezar Roberto. </w:t>
      </w:r>
      <w:r>
        <w:rPr>
          <w:rFonts w:eastAsia="Times New Roman"/>
          <w:b/>
          <w:bCs/>
          <w:sz w:val="24"/>
          <w:szCs w:val="24"/>
        </w:rPr>
        <w:t>Tratado de direito penal</w:t>
      </w:r>
      <w:r>
        <w:rPr>
          <w:rFonts w:eastAsia="Times New Roman"/>
          <w:sz w:val="24"/>
          <w:szCs w:val="24"/>
        </w:rPr>
        <w:t>: parte geral. 14 ed. São Paulo:</w:t>
      </w:r>
    </w:p>
    <w:p w:rsidR="003F65BE" w:rsidRDefault="00CD6827">
      <w:pPr>
        <w:ind w:left="260"/>
        <w:rPr>
          <w:sz w:val="20"/>
          <w:szCs w:val="20"/>
        </w:rPr>
      </w:pPr>
      <w:r>
        <w:rPr>
          <w:rFonts w:eastAsia="Times New Roman"/>
          <w:sz w:val="24"/>
          <w:szCs w:val="24"/>
        </w:rPr>
        <w:t>Saraiva, 2009.</w:t>
      </w:r>
    </w:p>
    <w:p w:rsidR="003F65BE" w:rsidRDefault="003F65BE">
      <w:pPr>
        <w:spacing w:line="288" w:lineRule="exact"/>
        <w:rPr>
          <w:sz w:val="20"/>
          <w:szCs w:val="20"/>
        </w:rPr>
      </w:pPr>
    </w:p>
    <w:p w:rsidR="003F65BE" w:rsidRDefault="00CD6827">
      <w:pPr>
        <w:spacing w:line="234" w:lineRule="auto"/>
        <w:ind w:left="260"/>
        <w:jc w:val="both"/>
        <w:rPr>
          <w:sz w:val="20"/>
          <w:szCs w:val="20"/>
        </w:rPr>
      </w:pPr>
      <w:r>
        <w:rPr>
          <w:rFonts w:eastAsia="Times New Roman"/>
          <w:sz w:val="24"/>
          <w:szCs w:val="24"/>
        </w:rPr>
        <w:t xml:space="preserve">BONAVIDES, Paulo. </w:t>
      </w:r>
      <w:r>
        <w:rPr>
          <w:rFonts w:eastAsia="Times New Roman"/>
          <w:b/>
          <w:bCs/>
          <w:sz w:val="24"/>
          <w:szCs w:val="24"/>
        </w:rPr>
        <w:t>Curso de Direito Constitucional</w:t>
      </w:r>
      <w:r>
        <w:rPr>
          <w:rFonts w:eastAsia="Times New Roman"/>
          <w:sz w:val="24"/>
          <w:szCs w:val="24"/>
        </w:rPr>
        <w:t>. 7 ed. São Paulo</w:t>
      </w:r>
      <w:r>
        <w:rPr>
          <w:rFonts w:eastAsia="Times New Roman"/>
          <w:sz w:val="24"/>
          <w:szCs w:val="24"/>
        </w:rPr>
        <w:t>: Malheiros Editores, 1997.</w:t>
      </w:r>
    </w:p>
    <w:p w:rsidR="003F65BE" w:rsidRDefault="003F65BE">
      <w:pPr>
        <w:spacing w:line="290" w:lineRule="exact"/>
        <w:rPr>
          <w:sz w:val="20"/>
          <w:szCs w:val="20"/>
        </w:rPr>
      </w:pPr>
    </w:p>
    <w:p w:rsidR="003F65BE" w:rsidRDefault="00CD6827">
      <w:pPr>
        <w:spacing w:line="234" w:lineRule="auto"/>
        <w:ind w:left="260" w:right="20"/>
        <w:jc w:val="both"/>
        <w:rPr>
          <w:sz w:val="20"/>
          <w:szCs w:val="20"/>
        </w:rPr>
      </w:pPr>
      <w:r>
        <w:rPr>
          <w:rFonts w:eastAsia="Times New Roman"/>
          <w:sz w:val="24"/>
          <w:szCs w:val="24"/>
        </w:rPr>
        <w:t xml:space="preserve">CERVINI, RAÚL. </w:t>
      </w:r>
      <w:r>
        <w:rPr>
          <w:rFonts w:eastAsia="Times New Roman"/>
          <w:b/>
          <w:bCs/>
          <w:sz w:val="24"/>
          <w:szCs w:val="24"/>
        </w:rPr>
        <w:t>Os processos de descriminalização</w:t>
      </w:r>
      <w:r>
        <w:rPr>
          <w:rFonts w:eastAsia="Times New Roman"/>
          <w:sz w:val="24"/>
          <w:szCs w:val="24"/>
        </w:rPr>
        <w:t>. 2. ed. São Paulo: Revista dos Tribunais, 2002.</w:t>
      </w:r>
    </w:p>
    <w:p w:rsidR="003F65BE" w:rsidRDefault="003F65BE">
      <w:pPr>
        <w:spacing w:line="278" w:lineRule="exact"/>
        <w:rPr>
          <w:sz w:val="20"/>
          <w:szCs w:val="20"/>
        </w:rPr>
      </w:pPr>
    </w:p>
    <w:p w:rsidR="003F65BE" w:rsidRDefault="00CD6827">
      <w:pPr>
        <w:ind w:left="260"/>
        <w:rPr>
          <w:sz w:val="20"/>
          <w:szCs w:val="20"/>
        </w:rPr>
      </w:pPr>
      <w:r>
        <w:rPr>
          <w:rFonts w:eastAsia="Times New Roman"/>
          <w:sz w:val="24"/>
          <w:szCs w:val="24"/>
        </w:rPr>
        <w:t xml:space="preserve">CAPEZ, Fernando. </w:t>
      </w:r>
      <w:r>
        <w:rPr>
          <w:rFonts w:eastAsia="Times New Roman"/>
          <w:b/>
          <w:bCs/>
          <w:sz w:val="24"/>
          <w:szCs w:val="24"/>
        </w:rPr>
        <w:t>Curso de direito penal, volume 3, parte especial</w:t>
      </w:r>
      <w:r>
        <w:rPr>
          <w:rFonts w:eastAsia="Times New Roman"/>
          <w:sz w:val="24"/>
          <w:szCs w:val="24"/>
        </w:rPr>
        <w:t>: dos crimes contra a</w:t>
      </w:r>
    </w:p>
    <w:p w:rsidR="003F65BE" w:rsidRDefault="00CD6827">
      <w:pPr>
        <w:ind w:left="260"/>
        <w:rPr>
          <w:sz w:val="20"/>
          <w:szCs w:val="20"/>
        </w:rPr>
      </w:pPr>
      <w:r>
        <w:rPr>
          <w:rFonts w:eastAsia="Times New Roman"/>
          <w:sz w:val="24"/>
          <w:szCs w:val="24"/>
        </w:rPr>
        <w:t xml:space="preserve">dignidade sexual a dos crimes contra a </w:t>
      </w:r>
      <w:r>
        <w:rPr>
          <w:rFonts w:eastAsia="Times New Roman"/>
          <w:sz w:val="24"/>
          <w:szCs w:val="24"/>
        </w:rPr>
        <w:t>administração pública. São Paulo: Saraiva, 2011.</w:t>
      </w:r>
    </w:p>
    <w:p w:rsidR="003F65BE" w:rsidRDefault="003F65BE">
      <w:pPr>
        <w:spacing w:line="277" w:lineRule="exact"/>
        <w:rPr>
          <w:sz w:val="20"/>
          <w:szCs w:val="20"/>
        </w:rPr>
      </w:pPr>
    </w:p>
    <w:p w:rsidR="003F65BE" w:rsidRDefault="00CD6827">
      <w:pPr>
        <w:ind w:left="260"/>
        <w:rPr>
          <w:sz w:val="20"/>
          <w:szCs w:val="20"/>
        </w:rPr>
      </w:pPr>
      <w:r>
        <w:rPr>
          <w:rFonts w:eastAsia="Times New Roman"/>
          <w:color w:val="333333"/>
          <w:sz w:val="24"/>
          <w:szCs w:val="24"/>
        </w:rPr>
        <w:t xml:space="preserve">_________________. </w:t>
      </w:r>
      <w:r>
        <w:rPr>
          <w:rFonts w:eastAsia="Times New Roman"/>
          <w:color w:val="000000"/>
          <w:sz w:val="24"/>
          <w:szCs w:val="24"/>
        </w:rPr>
        <w:t>Artigo científico.</w:t>
      </w:r>
      <w:r>
        <w:rPr>
          <w:rFonts w:eastAsia="Times New Roman"/>
          <w:color w:val="333333"/>
          <w:sz w:val="24"/>
          <w:szCs w:val="24"/>
        </w:rPr>
        <w:t xml:space="preserve"> </w:t>
      </w:r>
      <w:r>
        <w:rPr>
          <w:rFonts w:eastAsia="Times New Roman"/>
          <w:b/>
          <w:bCs/>
          <w:color w:val="000000"/>
          <w:sz w:val="24"/>
          <w:szCs w:val="24"/>
        </w:rPr>
        <w:t>A Objetividade Jurídica Nos Crimes Contra a</w:t>
      </w:r>
    </w:p>
    <w:p w:rsidR="003F65BE" w:rsidRDefault="003F65BE">
      <w:pPr>
        <w:spacing w:line="12" w:lineRule="exact"/>
        <w:rPr>
          <w:sz w:val="20"/>
          <w:szCs w:val="20"/>
        </w:rPr>
      </w:pPr>
    </w:p>
    <w:p w:rsidR="003F65BE" w:rsidRDefault="00CD6827">
      <w:pPr>
        <w:spacing w:line="236" w:lineRule="auto"/>
        <w:ind w:left="260"/>
        <w:rPr>
          <w:sz w:val="20"/>
          <w:szCs w:val="20"/>
        </w:rPr>
      </w:pPr>
      <w:r>
        <w:rPr>
          <w:rFonts w:eastAsia="Times New Roman"/>
          <w:b/>
          <w:bCs/>
          <w:sz w:val="24"/>
          <w:szCs w:val="24"/>
        </w:rPr>
        <w:t xml:space="preserve">Dignidade </w:t>
      </w:r>
      <w:r>
        <w:rPr>
          <w:rFonts w:eastAsia="Times New Roman"/>
          <w:sz w:val="24"/>
          <w:szCs w:val="24"/>
        </w:rPr>
        <w:t>sexual. Disponível em:</w:t>
      </w:r>
      <w:r>
        <w:rPr>
          <w:rFonts w:eastAsia="Times New Roman"/>
          <w:b/>
          <w:bCs/>
          <w:sz w:val="24"/>
          <w:szCs w:val="24"/>
        </w:rPr>
        <w:t xml:space="preserve"> </w:t>
      </w:r>
      <w:r>
        <w:rPr>
          <w:rFonts w:eastAsia="Times New Roman"/>
          <w:sz w:val="24"/>
          <w:szCs w:val="24"/>
        </w:rPr>
        <w:t xml:space="preserve">emhttp://capez.taisei.com.br/capezfinal/index.php?secao=27&amp;subsecao=0&amp;con_id=5647. Acesso </w:t>
      </w:r>
      <w:r>
        <w:rPr>
          <w:rFonts w:eastAsia="Times New Roman"/>
          <w:sz w:val="24"/>
          <w:szCs w:val="24"/>
        </w:rPr>
        <w:t>em 21 set 2015.</w:t>
      </w:r>
    </w:p>
    <w:p w:rsidR="003F65BE" w:rsidRDefault="003F65BE">
      <w:pPr>
        <w:spacing w:line="290" w:lineRule="exact"/>
        <w:rPr>
          <w:sz w:val="20"/>
          <w:szCs w:val="20"/>
        </w:rPr>
      </w:pPr>
    </w:p>
    <w:p w:rsidR="003F65BE" w:rsidRDefault="00CD6827">
      <w:pPr>
        <w:spacing w:line="234" w:lineRule="auto"/>
        <w:ind w:left="260"/>
        <w:rPr>
          <w:sz w:val="20"/>
          <w:szCs w:val="20"/>
        </w:rPr>
      </w:pPr>
      <w:r>
        <w:rPr>
          <w:rFonts w:eastAsia="Times New Roman"/>
          <w:sz w:val="24"/>
          <w:szCs w:val="24"/>
        </w:rPr>
        <w:t xml:space="preserve">DIAS, Maria Berenice. </w:t>
      </w:r>
      <w:r>
        <w:rPr>
          <w:rFonts w:eastAsia="Times New Roman"/>
          <w:b/>
          <w:bCs/>
          <w:sz w:val="24"/>
          <w:szCs w:val="24"/>
        </w:rPr>
        <w:t>Manual de direito das famílias.</w:t>
      </w:r>
      <w:r>
        <w:rPr>
          <w:rFonts w:eastAsia="Times New Roman"/>
          <w:sz w:val="24"/>
          <w:szCs w:val="24"/>
        </w:rPr>
        <w:t xml:space="preserve"> São Paulo: Revista dos Tribunais, 2005.</w:t>
      </w:r>
    </w:p>
    <w:p w:rsidR="003F65BE" w:rsidRDefault="003F65BE">
      <w:pPr>
        <w:spacing w:line="14" w:lineRule="exact"/>
        <w:rPr>
          <w:sz w:val="20"/>
          <w:szCs w:val="20"/>
        </w:rPr>
      </w:pPr>
    </w:p>
    <w:p w:rsidR="003F65BE" w:rsidRDefault="00CD6827">
      <w:pPr>
        <w:spacing w:line="234" w:lineRule="auto"/>
        <w:ind w:left="260"/>
        <w:rPr>
          <w:sz w:val="20"/>
          <w:szCs w:val="20"/>
        </w:rPr>
      </w:pPr>
      <w:r>
        <w:rPr>
          <w:rFonts w:eastAsia="Times New Roman"/>
          <w:sz w:val="24"/>
          <w:szCs w:val="24"/>
        </w:rPr>
        <w:t xml:space="preserve">D’URSO, Flavia. </w:t>
      </w:r>
      <w:r>
        <w:rPr>
          <w:rFonts w:eastAsia="Times New Roman"/>
          <w:b/>
          <w:bCs/>
          <w:sz w:val="24"/>
          <w:szCs w:val="24"/>
        </w:rPr>
        <w:t>Princípio constitucional da proporcionalidade no processo penal</w:t>
      </w:r>
      <w:r>
        <w:rPr>
          <w:rFonts w:eastAsia="Times New Roman"/>
          <w:sz w:val="24"/>
          <w:szCs w:val="24"/>
        </w:rPr>
        <w:t>. São Paulo: Editora Atlas, 2007.</w:t>
      </w:r>
    </w:p>
    <w:p w:rsidR="003F65BE" w:rsidRDefault="003F65BE">
      <w:pPr>
        <w:sectPr w:rsidR="003F65BE">
          <w:pgSz w:w="11900" w:h="16838"/>
          <w:pgMar w:top="712" w:right="1126" w:bottom="1440" w:left="1440" w:header="0" w:footer="0" w:gutter="0"/>
          <w:cols w:space="720" w:equalWidth="0">
            <w:col w:w="9340"/>
          </w:cols>
        </w:sectPr>
      </w:pPr>
    </w:p>
    <w:p w:rsidR="003F65BE" w:rsidRDefault="00CD6827">
      <w:pPr>
        <w:ind w:left="9120"/>
        <w:rPr>
          <w:sz w:val="20"/>
          <w:szCs w:val="20"/>
        </w:rPr>
      </w:pPr>
      <w:r>
        <w:rPr>
          <w:rFonts w:ascii="Calibri" w:eastAsia="Calibri" w:hAnsi="Calibri" w:cs="Calibri"/>
          <w:sz w:val="21"/>
          <w:szCs w:val="21"/>
        </w:rPr>
        <w:lastRenderedPageBreak/>
        <w:t>50</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24" w:lineRule="exact"/>
        <w:rPr>
          <w:sz w:val="20"/>
          <w:szCs w:val="20"/>
        </w:rPr>
      </w:pPr>
    </w:p>
    <w:p w:rsidR="003F65BE" w:rsidRDefault="00CD6827">
      <w:pPr>
        <w:ind w:left="260"/>
        <w:rPr>
          <w:sz w:val="20"/>
          <w:szCs w:val="20"/>
        </w:rPr>
      </w:pPr>
      <w:r>
        <w:rPr>
          <w:rFonts w:eastAsia="Times New Roman"/>
          <w:sz w:val="24"/>
          <w:szCs w:val="24"/>
        </w:rPr>
        <w:t xml:space="preserve">FALEIROS, V.P. </w:t>
      </w:r>
      <w:r>
        <w:rPr>
          <w:rFonts w:eastAsia="Times New Roman"/>
          <w:b/>
          <w:bCs/>
          <w:sz w:val="24"/>
          <w:szCs w:val="24"/>
        </w:rPr>
        <w:t>Abuso sexual em crianças e adolescentes</w:t>
      </w:r>
      <w:r>
        <w:rPr>
          <w:rFonts w:eastAsia="Times New Roman"/>
          <w:sz w:val="24"/>
          <w:szCs w:val="24"/>
        </w:rPr>
        <w:t>: trama, drama e trauma. Em</w:t>
      </w:r>
    </w:p>
    <w:p w:rsidR="003F65BE" w:rsidRDefault="00CD6827">
      <w:pPr>
        <w:ind w:left="260"/>
        <w:rPr>
          <w:sz w:val="20"/>
          <w:szCs w:val="20"/>
        </w:rPr>
      </w:pPr>
      <w:r>
        <w:rPr>
          <w:rFonts w:eastAsia="Times New Roman"/>
          <w:sz w:val="24"/>
          <w:szCs w:val="24"/>
        </w:rPr>
        <w:t>L.F. Costa &amp; T.M.C. Almeida (Orgs), Violência no cotidiano: do risco à proteção. Brasília:</w:t>
      </w:r>
    </w:p>
    <w:p w:rsidR="003F65BE" w:rsidRDefault="00CD6827">
      <w:pPr>
        <w:ind w:left="260"/>
        <w:rPr>
          <w:sz w:val="20"/>
          <w:szCs w:val="20"/>
        </w:rPr>
      </w:pPr>
      <w:r>
        <w:rPr>
          <w:rFonts w:eastAsia="Times New Roman"/>
          <w:sz w:val="24"/>
          <w:szCs w:val="24"/>
        </w:rPr>
        <w:t>Líber/Universa, 2005.</w:t>
      </w:r>
    </w:p>
    <w:p w:rsidR="003F65BE" w:rsidRDefault="003F65BE">
      <w:pPr>
        <w:spacing w:line="276" w:lineRule="exact"/>
        <w:rPr>
          <w:sz w:val="20"/>
          <w:szCs w:val="20"/>
        </w:rPr>
      </w:pPr>
    </w:p>
    <w:p w:rsidR="003F65BE" w:rsidRDefault="00CD6827">
      <w:pPr>
        <w:ind w:left="260"/>
        <w:rPr>
          <w:sz w:val="20"/>
          <w:szCs w:val="20"/>
        </w:rPr>
      </w:pPr>
      <w:r>
        <w:rPr>
          <w:rFonts w:eastAsia="Times New Roman"/>
          <w:sz w:val="24"/>
          <w:szCs w:val="24"/>
        </w:rPr>
        <w:t xml:space="preserve">FERREIRA, Aurélio Buarque de Hollanda. </w:t>
      </w:r>
      <w:r>
        <w:rPr>
          <w:rFonts w:eastAsia="Times New Roman"/>
          <w:b/>
          <w:bCs/>
          <w:sz w:val="24"/>
          <w:szCs w:val="24"/>
        </w:rPr>
        <w:t xml:space="preserve">Novo dicionário da </w:t>
      </w:r>
      <w:r>
        <w:rPr>
          <w:rFonts w:eastAsia="Times New Roman"/>
          <w:b/>
          <w:bCs/>
          <w:sz w:val="24"/>
          <w:szCs w:val="24"/>
        </w:rPr>
        <w:t>língua portuguesa</w:t>
      </w:r>
      <w:r>
        <w:rPr>
          <w:rFonts w:eastAsia="Times New Roman"/>
          <w:sz w:val="24"/>
          <w:szCs w:val="24"/>
        </w:rPr>
        <w:t>. 6 ed.</w:t>
      </w:r>
    </w:p>
    <w:p w:rsidR="003F65BE" w:rsidRDefault="00CD6827">
      <w:pPr>
        <w:ind w:left="260"/>
        <w:rPr>
          <w:sz w:val="20"/>
          <w:szCs w:val="20"/>
        </w:rPr>
      </w:pPr>
      <w:r>
        <w:rPr>
          <w:rFonts w:eastAsia="Times New Roman"/>
          <w:sz w:val="24"/>
          <w:szCs w:val="24"/>
        </w:rPr>
        <w:t>Curitiba: Positivo,2006.</w:t>
      </w:r>
    </w:p>
    <w:p w:rsidR="003F65BE" w:rsidRDefault="003F65BE">
      <w:pPr>
        <w:spacing w:line="288" w:lineRule="exact"/>
        <w:rPr>
          <w:sz w:val="20"/>
          <w:szCs w:val="20"/>
        </w:rPr>
      </w:pPr>
    </w:p>
    <w:p w:rsidR="003F65BE" w:rsidRDefault="00CD6827">
      <w:pPr>
        <w:spacing w:line="234" w:lineRule="auto"/>
        <w:ind w:left="260" w:right="20"/>
        <w:jc w:val="both"/>
        <w:rPr>
          <w:sz w:val="20"/>
          <w:szCs w:val="20"/>
        </w:rPr>
      </w:pPr>
      <w:r>
        <w:rPr>
          <w:rFonts w:eastAsia="Times New Roman"/>
          <w:sz w:val="24"/>
          <w:szCs w:val="24"/>
        </w:rPr>
        <w:t xml:space="preserve">Gonçalves, Victor Eduardo Rios. </w:t>
      </w:r>
      <w:r>
        <w:rPr>
          <w:rFonts w:eastAsia="Times New Roman"/>
          <w:b/>
          <w:bCs/>
          <w:sz w:val="24"/>
          <w:szCs w:val="24"/>
        </w:rPr>
        <w:t>Dos crimes contra a dignidade sexual aos Crimes contra</w:t>
      </w:r>
      <w:r>
        <w:rPr>
          <w:rFonts w:eastAsia="Times New Roman"/>
          <w:sz w:val="24"/>
          <w:szCs w:val="24"/>
        </w:rPr>
        <w:t xml:space="preserve"> </w:t>
      </w:r>
      <w:r>
        <w:rPr>
          <w:rFonts w:eastAsia="Times New Roman"/>
          <w:b/>
          <w:bCs/>
          <w:sz w:val="24"/>
          <w:szCs w:val="24"/>
        </w:rPr>
        <w:t xml:space="preserve">administração. </w:t>
      </w:r>
      <w:r>
        <w:rPr>
          <w:rFonts w:eastAsia="Times New Roman"/>
          <w:sz w:val="24"/>
          <w:szCs w:val="24"/>
        </w:rPr>
        <w:t>Vol. 10, 15° ed. São Paulo: 2011.</w:t>
      </w:r>
    </w:p>
    <w:p w:rsidR="003F65BE" w:rsidRDefault="003F65BE">
      <w:pPr>
        <w:spacing w:line="290" w:lineRule="exact"/>
        <w:rPr>
          <w:sz w:val="20"/>
          <w:szCs w:val="20"/>
        </w:rPr>
      </w:pPr>
    </w:p>
    <w:p w:rsidR="003F65BE" w:rsidRDefault="00CD6827">
      <w:pPr>
        <w:spacing w:line="234" w:lineRule="auto"/>
        <w:ind w:left="260"/>
        <w:jc w:val="both"/>
        <w:rPr>
          <w:sz w:val="20"/>
          <w:szCs w:val="20"/>
        </w:rPr>
      </w:pPr>
      <w:r>
        <w:rPr>
          <w:rFonts w:eastAsia="Times New Roman"/>
          <w:sz w:val="24"/>
          <w:szCs w:val="24"/>
        </w:rPr>
        <w:t>GOMES, Mariângela Gama de Magalhães</w:t>
      </w:r>
      <w:r>
        <w:rPr>
          <w:rFonts w:eastAsia="Times New Roman"/>
          <w:i/>
          <w:iCs/>
          <w:sz w:val="24"/>
          <w:szCs w:val="24"/>
        </w:rPr>
        <w:t>.</w:t>
      </w:r>
      <w:r>
        <w:rPr>
          <w:rFonts w:eastAsia="Times New Roman"/>
          <w:sz w:val="24"/>
          <w:szCs w:val="24"/>
        </w:rPr>
        <w:t xml:space="preserve"> </w:t>
      </w:r>
      <w:r>
        <w:rPr>
          <w:rFonts w:eastAsia="Times New Roman"/>
          <w:b/>
          <w:bCs/>
          <w:sz w:val="24"/>
          <w:szCs w:val="24"/>
        </w:rPr>
        <w:t>O princípio da proporcionalidad</w:t>
      </w:r>
      <w:r>
        <w:rPr>
          <w:rFonts w:eastAsia="Times New Roman"/>
          <w:b/>
          <w:bCs/>
          <w:sz w:val="24"/>
          <w:szCs w:val="24"/>
        </w:rPr>
        <w:t>e no Direito</w:t>
      </w:r>
      <w:r>
        <w:rPr>
          <w:rFonts w:eastAsia="Times New Roman"/>
          <w:sz w:val="24"/>
          <w:szCs w:val="24"/>
        </w:rPr>
        <w:t xml:space="preserve"> </w:t>
      </w:r>
      <w:r>
        <w:rPr>
          <w:rFonts w:eastAsia="Times New Roman"/>
          <w:b/>
          <w:bCs/>
          <w:sz w:val="24"/>
          <w:szCs w:val="24"/>
        </w:rPr>
        <w:t>penal</w:t>
      </w:r>
      <w:r>
        <w:rPr>
          <w:rFonts w:eastAsia="Times New Roman"/>
          <w:sz w:val="24"/>
          <w:szCs w:val="24"/>
        </w:rPr>
        <w:t>. São Paulo: Revista dos Tribunais, 2003.</w:t>
      </w:r>
    </w:p>
    <w:p w:rsidR="003F65BE" w:rsidRDefault="003F65BE">
      <w:pPr>
        <w:spacing w:line="278" w:lineRule="exact"/>
        <w:rPr>
          <w:sz w:val="20"/>
          <w:szCs w:val="20"/>
        </w:rPr>
      </w:pPr>
    </w:p>
    <w:p w:rsidR="003F65BE" w:rsidRDefault="00CD6827">
      <w:pPr>
        <w:ind w:left="260"/>
        <w:rPr>
          <w:sz w:val="20"/>
          <w:szCs w:val="20"/>
        </w:rPr>
      </w:pPr>
      <w:r>
        <w:rPr>
          <w:rFonts w:eastAsia="Times New Roman"/>
          <w:sz w:val="24"/>
          <w:szCs w:val="24"/>
        </w:rPr>
        <w:t>_________________________..</w:t>
      </w:r>
      <w:r>
        <w:rPr>
          <w:rFonts w:eastAsia="Times New Roman"/>
          <w:b/>
          <w:bCs/>
          <w:sz w:val="24"/>
          <w:szCs w:val="24"/>
        </w:rPr>
        <w:t>Direito penal esquematizado</w:t>
      </w:r>
      <w:r>
        <w:rPr>
          <w:rFonts w:eastAsia="Times New Roman"/>
          <w:sz w:val="24"/>
          <w:szCs w:val="24"/>
        </w:rPr>
        <w:t xml:space="preserve"> : parte especial / São Paulo :</w:t>
      </w:r>
    </w:p>
    <w:p w:rsidR="003F65BE" w:rsidRDefault="00CD6827">
      <w:pPr>
        <w:ind w:left="260"/>
        <w:rPr>
          <w:sz w:val="20"/>
          <w:szCs w:val="20"/>
        </w:rPr>
      </w:pPr>
      <w:r>
        <w:rPr>
          <w:rFonts w:eastAsia="Times New Roman"/>
          <w:sz w:val="24"/>
          <w:szCs w:val="24"/>
        </w:rPr>
        <w:t>Saraiva, 2011.</w:t>
      </w:r>
    </w:p>
    <w:p w:rsidR="003F65BE" w:rsidRDefault="003F65BE">
      <w:pPr>
        <w:spacing w:line="288" w:lineRule="exact"/>
        <w:rPr>
          <w:sz w:val="20"/>
          <w:szCs w:val="20"/>
        </w:rPr>
      </w:pPr>
    </w:p>
    <w:p w:rsidR="003F65BE" w:rsidRDefault="00CD6827">
      <w:pPr>
        <w:spacing w:line="234" w:lineRule="auto"/>
        <w:ind w:left="260"/>
        <w:jc w:val="both"/>
        <w:rPr>
          <w:sz w:val="20"/>
          <w:szCs w:val="20"/>
        </w:rPr>
      </w:pPr>
      <w:r>
        <w:rPr>
          <w:rFonts w:eastAsia="Times New Roman"/>
          <w:sz w:val="24"/>
          <w:szCs w:val="24"/>
        </w:rPr>
        <w:t xml:space="preserve">GRECO, Rogério. </w:t>
      </w:r>
      <w:r>
        <w:rPr>
          <w:rFonts w:eastAsia="Times New Roman"/>
          <w:b/>
          <w:bCs/>
          <w:sz w:val="24"/>
          <w:szCs w:val="24"/>
        </w:rPr>
        <w:t>Curso de direito penal: parte especial, volume III</w:t>
      </w:r>
      <w:r>
        <w:rPr>
          <w:rFonts w:eastAsia="Times New Roman"/>
          <w:sz w:val="24"/>
          <w:szCs w:val="24"/>
        </w:rPr>
        <w:t>. Niterói, RJ: Impetus, 200</w:t>
      </w:r>
      <w:r>
        <w:rPr>
          <w:rFonts w:eastAsia="Times New Roman"/>
          <w:sz w:val="24"/>
          <w:szCs w:val="24"/>
        </w:rPr>
        <w:t>9.</w:t>
      </w:r>
    </w:p>
    <w:p w:rsidR="003F65BE" w:rsidRDefault="003F65BE">
      <w:pPr>
        <w:spacing w:line="290" w:lineRule="exact"/>
        <w:rPr>
          <w:sz w:val="20"/>
          <w:szCs w:val="20"/>
        </w:rPr>
      </w:pPr>
    </w:p>
    <w:p w:rsidR="003F65BE" w:rsidRDefault="00CD6827">
      <w:pPr>
        <w:spacing w:line="234" w:lineRule="auto"/>
        <w:ind w:left="260"/>
        <w:jc w:val="both"/>
        <w:rPr>
          <w:sz w:val="20"/>
          <w:szCs w:val="20"/>
        </w:rPr>
      </w:pPr>
      <w:r>
        <w:rPr>
          <w:rFonts w:eastAsia="Times New Roman"/>
          <w:sz w:val="24"/>
          <w:szCs w:val="24"/>
        </w:rPr>
        <w:t>_______________.</w:t>
      </w:r>
      <w:r>
        <w:rPr>
          <w:rFonts w:eastAsia="Times New Roman"/>
          <w:b/>
          <w:bCs/>
          <w:sz w:val="24"/>
          <w:szCs w:val="24"/>
        </w:rPr>
        <w:t>Curso de direito penal: parte especial, volume III</w:t>
      </w:r>
      <w:r>
        <w:rPr>
          <w:rFonts w:eastAsia="Times New Roman"/>
          <w:sz w:val="24"/>
          <w:szCs w:val="24"/>
        </w:rPr>
        <w:t>. Niterói, RJ: Impetus, 2011.</w:t>
      </w:r>
    </w:p>
    <w:p w:rsidR="003F65BE" w:rsidRDefault="003F65BE">
      <w:pPr>
        <w:spacing w:line="2" w:lineRule="exact"/>
        <w:rPr>
          <w:sz w:val="20"/>
          <w:szCs w:val="20"/>
        </w:rPr>
      </w:pPr>
    </w:p>
    <w:p w:rsidR="003F65BE" w:rsidRDefault="00CD6827">
      <w:pPr>
        <w:ind w:left="260"/>
        <w:rPr>
          <w:sz w:val="20"/>
          <w:szCs w:val="20"/>
        </w:rPr>
      </w:pPr>
      <w:r>
        <w:rPr>
          <w:rFonts w:eastAsia="Times New Roman"/>
          <w:sz w:val="24"/>
          <w:szCs w:val="24"/>
        </w:rPr>
        <w:t xml:space="preserve">GRECO, ROGÉRIO. </w:t>
      </w:r>
      <w:r>
        <w:rPr>
          <w:rFonts w:eastAsia="Times New Roman"/>
          <w:b/>
          <w:bCs/>
          <w:sz w:val="24"/>
          <w:szCs w:val="24"/>
        </w:rPr>
        <w:t>Curso de direito penal</w:t>
      </w:r>
      <w:r>
        <w:rPr>
          <w:rFonts w:eastAsia="Times New Roman"/>
          <w:sz w:val="24"/>
          <w:szCs w:val="24"/>
        </w:rPr>
        <w:t>. vol.1. Rio de Janeiro: Impetus, 2006.</w:t>
      </w:r>
    </w:p>
    <w:p w:rsidR="003F65BE" w:rsidRDefault="00CD6827">
      <w:pPr>
        <w:ind w:left="260"/>
        <w:rPr>
          <w:sz w:val="20"/>
          <w:szCs w:val="20"/>
        </w:rPr>
      </w:pPr>
      <w:r>
        <w:rPr>
          <w:rFonts w:eastAsia="Times New Roman"/>
          <w:sz w:val="24"/>
          <w:szCs w:val="24"/>
        </w:rPr>
        <w:t>__________________.</w:t>
      </w:r>
      <w:r>
        <w:rPr>
          <w:rFonts w:eastAsia="Times New Roman"/>
          <w:b/>
          <w:bCs/>
          <w:sz w:val="24"/>
          <w:szCs w:val="24"/>
        </w:rPr>
        <w:t>Direito penal do equilíbrio</w:t>
      </w:r>
      <w:r>
        <w:rPr>
          <w:rFonts w:eastAsia="Times New Roman"/>
          <w:sz w:val="24"/>
          <w:szCs w:val="24"/>
        </w:rPr>
        <w:t>: uma visão minimalista do dire</w:t>
      </w:r>
      <w:r>
        <w:rPr>
          <w:rFonts w:eastAsia="Times New Roman"/>
          <w:sz w:val="24"/>
          <w:szCs w:val="24"/>
        </w:rPr>
        <w:t>ito penal.</w:t>
      </w:r>
    </w:p>
    <w:p w:rsidR="003F65BE" w:rsidRDefault="00CD6827">
      <w:pPr>
        <w:ind w:left="260"/>
        <w:rPr>
          <w:sz w:val="20"/>
          <w:szCs w:val="20"/>
        </w:rPr>
      </w:pPr>
      <w:r>
        <w:rPr>
          <w:rFonts w:eastAsia="Times New Roman"/>
          <w:sz w:val="24"/>
          <w:szCs w:val="24"/>
        </w:rPr>
        <w:t>Rio de Janeiro: Impetus, 2008.</w:t>
      </w:r>
    </w:p>
    <w:p w:rsidR="003F65BE" w:rsidRDefault="003F65BE">
      <w:pPr>
        <w:spacing w:line="288" w:lineRule="exact"/>
        <w:rPr>
          <w:sz w:val="20"/>
          <w:szCs w:val="20"/>
        </w:rPr>
      </w:pPr>
    </w:p>
    <w:p w:rsidR="003F65BE" w:rsidRDefault="00CD6827">
      <w:pPr>
        <w:spacing w:line="233" w:lineRule="auto"/>
        <w:ind w:left="260"/>
        <w:jc w:val="both"/>
        <w:rPr>
          <w:sz w:val="20"/>
          <w:szCs w:val="20"/>
        </w:rPr>
      </w:pPr>
      <w:r>
        <w:rPr>
          <w:rFonts w:eastAsia="Times New Roman"/>
          <w:sz w:val="24"/>
          <w:szCs w:val="24"/>
        </w:rPr>
        <w:t xml:space="preserve">LOPES JÚNIOR, Aury. </w:t>
      </w:r>
      <w:r>
        <w:rPr>
          <w:rFonts w:eastAsia="Times New Roman"/>
          <w:b/>
          <w:bCs/>
          <w:sz w:val="24"/>
          <w:szCs w:val="24"/>
        </w:rPr>
        <w:t>Direito Processual Penal e sua Conformidade Constitucional</w:t>
      </w:r>
      <w:r>
        <w:rPr>
          <w:rFonts w:eastAsia="Times New Roman"/>
          <w:sz w:val="24"/>
          <w:szCs w:val="24"/>
        </w:rPr>
        <w:t>. Rio de Janeiro: Lumen Juris, 2008.</w:t>
      </w:r>
    </w:p>
    <w:p w:rsidR="003F65BE" w:rsidRDefault="003F65BE">
      <w:pPr>
        <w:spacing w:line="278" w:lineRule="exact"/>
        <w:rPr>
          <w:sz w:val="20"/>
          <w:szCs w:val="20"/>
        </w:rPr>
      </w:pPr>
    </w:p>
    <w:p w:rsidR="003F65BE" w:rsidRDefault="00CD6827">
      <w:pPr>
        <w:ind w:left="260"/>
        <w:rPr>
          <w:sz w:val="20"/>
          <w:szCs w:val="20"/>
        </w:rPr>
      </w:pPr>
      <w:r>
        <w:rPr>
          <w:rFonts w:eastAsia="Times New Roman"/>
          <w:sz w:val="24"/>
          <w:szCs w:val="24"/>
        </w:rPr>
        <w:t xml:space="preserve">________________. Aury. </w:t>
      </w:r>
      <w:r>
        <w:rPr>
          <w:rFonts w:eastAsia="Times New Roman"/>
          <w:b/>
          <w:bCs/>
          <w:sz w:val="24"/>
          <w:szCs w:val="24"/>
        </w:rPr>
        <w:t>Direito Processual Penal e sua Conformidade Constitucional</w:t>
      </w:r>
      <w:r>
        <w:rPr>
          <w:rFonts w:eastAsia="Times New Roman"/>
          <w:sz w:val="24"/>
          <w:szCs w:val="24"/>
        </w:rPr>
        <w:t>.</w:t>
      </w:r>
    </w:p>
    <w:p w:rsidR="003F65BE" w:rsidRDefault="00CD6827">
      <w:pPr>
        <w:ind w:left="260"/>
        <w:rPr>
          <w:sz w:val="20"/>
          <w:szCs w:val="20"/>
        </w:rPr>
      </w:pPr>
      <w:r>
        <w:rPr>
          <w:rFonts w:eastAsia="Times New Roman"/>
          <w:sz w:val="24"/>
          <w:szCs w:val="24"/>
        </w:rPr>
        <w:t xml:space="preserve">Rio de </w:t>
      </w:r>
      <w:r>
        <w:rPr>
          <w:rFonts w:eastAsia="Times New Roman"/>
          <w:sz w:val="24"/>
          <w:szCs w:val="24"/>
        </w:rPr>
        <w:t>Janeiro: Lumen Juris, 2009.</w:t>
      </w:r>
    </w:p>
    <w:p w:rsidR="003F65BE" w:rsidRDefault="003F65BE">
      <w:pPr>
        <w:spacing w:line="288" w:lineRule="exact"/>
        <w:rPr>
          <w:sz w:val="20"/>
          <w:szCs w:val="20"/>
        </w:rPr>
      </w:pPr>
    </w:p>
    <w:p w:rsidR="003F65BE" w:rsidRDefault="00CD6827">
      <w:pPr>
        <w:spacing w:line="236" w:lineRule="auto"/>
        <w:ind w:left="260"/>
        <w:jc w:val="both"/>
        <w:rPr>
          <w:sz w:val="20"/>
          <w:szCs w:val="20"/>
        </w:rPr>
      </w:pPr>
      <w:r>
        <w:rPr>
          <w:rFonts w:eastAsia="Times New Roman"/>
          <w:sz w:val="24"/>
          <w:szCs w:val="24"/>
        </w:rPr>
        <w:t xml:space="preserve">LIMA, C. M. Infância Ferida. </w:t>
      </w:r>
      <w:r>
        <w:rPr>
          <w:rFonts w:eastAsia="Times New Roman"/>
          <w:b/>
          <w:bCs/>
          <w:sz w:val="24"/>
          <w:szCs w:val="24"/>
        </w:rPr>
        <w:t>O vínculo da criança abusada sexualmente em seus</w:t>
      </w:r>
      <w:r>
        <w:rPr>
          <w:rFonts w:eastAsia="Times New Roman"/>
          <w:sz w:val="24"/>
          <w:szCs w:val="24"/>
        </w:rPr>
        <w:t xml:space="preserve"> </w:t>
      </w:r>
      <w:r>
        <w:rPr>
          <w:rFonts w:eastAsia="Times New Roman"/>
          <w:b/>
          <w:bCs/>
          <w:sz w:val="24"/>
          <w:szCs w:val="24"/>
        </w:rPr>
        <w:t>diferentes espaços sociais</w:t>
      </w:r>
      <w:r>
        <w:rPr>
          <w:rFonts w:eastAsia="Times New Roman"/>
          <w:sz w:val="24"/>
          <w:szCs w:val="24"/>
        </w:rPr>
        <w:t>. Dissertação (Mestrado em Psicologia Clínica e Cultura).</w:t>
      </w:r>
      <w:r>
        <w:rPr>
          <w:rFonts w:eastAsia="Times New Roman"/>
          <w:b/>
          <w:bCs/>
          <w:sz w:val="24"/>
          <w:szCs w:val="24"/>
        </w:rPr>
        <w:t xml:space="preserve"> </w:t>
      </w:r>
      <w:r>
        <w:rPr>
          <w:rFonts w:eastAsia="Times New Roman"/>
          <w:sz w:val="24"/>
          <w:szCs w:val="24"/>
        </w:rPr>
        <w:t>Universidade de Brasília, Brasília, 2007.</w:t>
      </w:r>
    </w:p>
    <w:p w:rsidR="003F65BE" w:rsidRDefault="003F65BE">
      <w:pPr>
        <w:spacing w:line="290" w:lineRule="exact"/>
        <w:rPr>
          <w:sz w:val="20"/>
          <w:szCs w:val="20"/>
        </w:rPr>
      </w:pPr>
    </w:p>
    <w:p w:rsidR="003F65BE" w:rsidRDefault="00CD6827">
      <w:pPr>
        <w:spacing w:line="236" w:lineRule="auto"/>
        <w:ind w:left="260"/>
        <w:jc w:val="both"/>
        <w:rPr>
          <w:sz w:val="20"/>
          <w:szCs w:val="20"/>
        </w:rPr>
      </w:pPr>
      <w:r>
        <w:rPr>
          <w:rFonts w:eastAsia="Times New Roman"/>
          <w:sz w:val="24"/>
          <w:szCs w:val="24"/>
        </w:rPr>
        <w:t xml:space="preserve">LÔBO, Paulo Luiz Netto. </w:t>
      </w:r>
      <w:r>
        <w:rPr>
          <w:rFonts w:eastAsia="Times New Roman"/>
          <w:b/>
          <w:bCs/>
          <w:sz w:val="24"/>
          <w:szCs w:val="24"/>
        </w:rPr>
        <w:t>A repersonalização das relações de família</w:t>
      </w:r>
      <w:r>
        <w:rPr>
          <w:rFonts w:eastAsia="Times New Roman"/>
          <w:sz w:val="24"/>
          <w:szCs w:val="24"/>
        </w:rPr>
        <w:t xml:space="preserve"> . Jus Navigandi, Teresina, ano 8, n. 307, 10 maio 2004. Disponível em: . http://jus.com.br/artigos/5201/a-repersonalizacao-das-relacoes-de-familia Acesso em 20 set 2015.</w:t>
      </w:r>
    </w:p>
    <w:p w:rsidR="003F65BE" w:rsidRDefault="003F65BE">
      <w:pPr>
        <w:spacing w:line="290" w:lineRule="exact"/>
        <w:rPr>
          <w:sz w:val="20"/>
          <w:szCs w:val="20"/>
        </w:rPr>
      </w:pPr>
    </w:p>
    <w:p w:rsidR="003F65BE" w:rsidRDefault="00CD6827">
      <w:pPr>
        <w:spacing w:line="237" w:lineRule="auto"/>
        <w:ind w:left="260"/>
        <w:jc w:val="both"/>
        <w:rPr>
          <w:sz w:val="20"/>
          <w:szCs w:val="20"/>
        </w:rPr>
      </w:pPr>
      <w:r>
        <w:rPr>
          <w:rFonts w:eastAsia="Times New Roman"/>
          <w:sz w:val="24"/>
          <w:szCs w:val="24"/>
        </w:rPr>
        <w:t>MAIA, F.de O.M. (2</w:t>
      </w:r>
      <w:r>
        <w:rPr>
          <w:rFonts w:eastAsia="Times New Roman"/>
          <w:sz w:val="24"/>
          <w:szCs w:val="24"/>
        </w:rPr>
        <w:t xml:space="preserve">011). </w:t>
      </w:r>
      <w:r>
        <w:rPr>
          <w:rFonts w:eastAsia="Times New Roman"/>
          <w:b/>
          <w:bCs/>
          <w:sz w:val="24"/>
          <w:szCs w:val="24"/>
        </w:rPr>
        <w:t>Vulnerabilidade e envelhecimento: panorama dos idosos</w:t>
      </w:r>
      <w:r>
        <w:rPr>
          <w:rFonts w:eastAsia="Times New Roman"/>
          <w:sz w:val="24"/>
          <w:szCs w:val="24"/>
        </w:rPr>
        <w:t xml:space="preserve"> </w:t>
      </w:r>
      <w:r>
        <w:rPr>
          <w:rFonts w:eastAsia="Times New Roman"/>
          <w:b/>
          <w:bCs/>
          <w:sz w:val="24"/>
          <w:szCs w:val="24"/>
        </w:rPr>
        <w:t xml:space="preserve">residentes no município de São Paulo - Estudo SABE, 21-23,31-34,43-47. </w:t>
      </w:r>
      <w:r>
        <w:rPr>
          <w:rFonts w:eastAsia="Times New Roman"/>
          <w:sz w:val="24"/>
          <w:szCs w:val="24"/>
        </w:rPr>
        <w:t>Tese de</w:t>
      </w:r>
      <w:r>
        <w:rPr>
          <w:rFonts w:eastAsia="Times New Roman"/>
          <w:b/>
          <w:bCs/>
          <w:sz w:val="24"/>
          <w:szCs w:val="24"/>
        </w:rPr>
        <w:t xml:space="preserve"> </w:t>
      </w:r>
      <w:r>
        <w:rPr>
          <w:rFonts w:eastAsia="Times New Roman"/>
          <w:sz w:val="24"/>
          <w:szCs w:val="24"/>
        </w:rPr>
        <w:t>Doutorado em Enfermagem na Saúde do Adulto. Escola de Enfermagem, Universidade de São Paulo, São Paulo (SP). Disponív</w:t>
      </w:r>
      <w:r>
        <w:rPr>
          <w:rFonts w:eastAsia="Times New Roman"/>
          <w:sz w:val="24"/>
          <w:szCs w:val="24"/>
        </w:rPr>
        <w:t>el em:http:// www. teses. usp. br/ teses/ disponiveis /7/7139/tde-24102011-080913/Acesso em 15 set 2015.</w:t>
      </w:r>
    </w:p>
    <w:p w:rsidR="003F65BE" w:rsidRDefault="003F65BE">
      <w:pPr>
        <w:spacing w:line="293" w:lineRule="exact"/>
        <w:rPr>
          <w:sz w:val="20"/>
          <w:szCs w:val="20"/>
        </w:rPr>
      </w:pPr>
    </w:p>
    <w:p w:rsidR="003F65BE" w:rsidRDefault="00CD6827">
      <w:pPr>
        <w:spacing w:line="237" w:lineRule="auto"/>
        <w:ind w:left="260"/>
        <w:jc w:val="both"/>
        <w:rPr>
          <w:sz w:val="20"/>
          <w:szCs w:val="20"/>
        </w:rPr>
      </w:pPr>
      <w:r>
        <w:rPr>
          <w:rFonts w:eastAsia="Times New Roman"/>
          <w:sz w:val="24"/>
          <w:szCs w:val="24"/>
        </w:rPr>
        <w:t xml:space="preserve">MARTHA RABELO, Graziele. O princípio da proporcionalidade no Direito Penal. In: </w:t>
      </w:r>
      <w:r>
        <w:rPr>
          <w:rFonts w:eastAsia="Times New Roman"/>
          <w:b/>
          <w:bCs/>
          <w:sz w:val="24"/>
          <w:szCs w:val="24"/>
        </w:rPr>
        <w:t>Âmbito Jurídico</w:t>
      </w:r>
      <w:r>
        <w:rPr>
          <w:rFonts w:eastAsia="Times New Roman"/>
          <w:sz w:val="24"/>
          <w:szCs w:val="24"/>
        </w:rPr>
        <w:t>, Rio Grande, XII, n. 71, dez 2009. Disponível em: &lt;</w:t>
      </w:r>
      <w:r>
        <w:rPr>
          <w:rFonts w:eastAsia="Times New Roman"/>
          <w:sz w:val="24"/>
          <w:szCs w:val="24"/>
          <w:u w:val="single"/>
        </w:rPr>
        <w:t>htt</w:t>
      </w:r>
      <w:r>
        <w:rPr>
          <w:rFonts w:eastAsia="Times New Roman"/>
          <w:sz w:val="24"/>
          <w:szCs w:val="24"/>
          <w:u w:val="single"/>
        </w:rPr>
        <w:t>p://www.ambito-juridico.com.br/site/index.php?n_link=revista_artigos_leitura&amp;artigo_id=6990</w:t>
      </w:r>
      <w:r>
        <w:rPr>
          <w:rFonts w:eastAsia="Times New Roman"/>
          <w:sz w:val="24"/>
          <w:szCs w:val="24"/>
        </w:rPr>
        <w:t>&gt;. Acesso em set 2015.</w:t>
      </w:r>
    </w:p>
    <w:p w:rsidR="003F65BE" w:rsidRDefault="003F65BE">
      <w:pPr>
        <w:sectPr w:rsidR="003F65BE">
          <w:pgSz w:w="11900" w:h="16838"/>
          <w:pgMar w:top="712" w:right="1126" w:bottom="1060" w:left="1440" w:header="0" w:footer="0" w:gutter="0"/>
          <w:cols w:space="720" w:equalWidth="0">
            <w:col w:w="9340"/>
          </w:cols>
        </w:sectPr>
      </w:pPr>
    </w:p>
    <w:p w:rsidR="003F65BE" w:rsidRDefault="00CD6827">
      <w:pPr>
        <w:jc w:val="right"/>
        <w:rPr>
          <w:sz w:val="20"/>
          <w:szCs w:val="20"/>
        </w:rPr>
      </w:pPr>
      <w:r>
        <w:rPr>
          <w:rFonts w:ascii="Calibri" w:eastAsia="Calibri" w:hAnsi="Calibri" w:cs="Calibri"/>
        </w:rPr>
        <w:lastRenderedPageBreak/>
        <w:t>51</w:t>
      </w:r>
    </w:p>
    <w:p w:rsidR="003F65BE" w:rsidRDefault="003F65BE">
      <w:pPr>
        <w:spacing w:line="200" w:lineRule="exact"/>
        <w:rPr>
          <w:sz w:val="20"/>
          <w:szCs w:val="20"/>
        </w:rPr>
      </w:pPr>
    </w:p>
    <w:p w:rsidR="003F65BE" w:rsidRDefault="003F65BE">
      <w:pPr>
        <w:spacing w:line="200" w:lineRule="exact"/>
        <w:rPr>
          <w:sz w:val="20"/>
          <w:szCs w:val="20"/>
        </w:rPr>
      </w:pPr>
    </w:p>
    <w:p w:rsidR="003F65BE" w:rsidRDefault="003F65BE">
      <w:pPr>
        <w:spacing w:line="324" w:lineRule="exact"/>
        <w:rPr>
          <w:sz w:val="20"/>
          <w:szCs w:val="20"/>
        </w:rPr>
      </w:pPr>
    </w:p>
    <w:p w:rsidR="003F65BE" w:rsidRDefault="00CD6827">
      <w:pPr>
        <w:ind w:left="260"/>
        <w:rPr>
          <w:sz w:val="20"/>
          <w:szCs w:val="20"/>
        </w:rPr>
      </w:pPr>
      <w:r>
        <w:rPr>
          <w:rFonts w:eastAsia="Times New Roman"/>
          <w:sz w:val="24"/>
          <w:szCs w:val="24"/>
        </w:rPr>
        <w:t xml:space="preserve">MELLO, Celso Antônio Bandeira de. </w:t>
      </w:r>
      <w:r>
        <w:rPr>
          <w:rFonts w:eastAsia="Times New Roman"/>
          <w:b/>
          <w:bCs/>
          <w:sz w:val="24"/>
          <w:szCs w:val="24"/>
        </w:rPr>
        <w:t>Curso de Direito Administrativo</w:t>
      </w:r>
      <w:r>
        <w:rPr>
          <w:rFonts w:eastAsia="Times New Roman"/>
          <w:sz w:val="24"/>
          <w:szCs w:val="24"/>
        </w:rPr>
        <w:t>. 8 ed. São Paulo:</w:t>
      </w:r>
    </w:p>
    <w:p w:rsidR="003F65BE" w:rsidRDefault="00CD6827">
      <w:pPr>
        <w:ind w:left="260"/>
        <w:rPr>
          <w:sz w:val="20"/>
          <w:szCs w:val="20"/>
        </w:rPr>
      </w:pPr>
      <w:r>
        <w:rPr>
          <w:rFonts w:eastAsia="Times New Roman"/>
          <w:sz w:val="24"/>
          <w:szCs w:val="24"/>
        </w:rPr>
        <w:t>Malheiros, 1996.</w:t>
      </w:r>
    </w:p>
    <w:p w:rsidR="003F65BE" w:rsidRDefault="00CD6827">
      <w:pPr>
        <w:ind w:left="260"/>
        <w:rPr>
          <w:sz w:val="20"/>
          <w:szCs w:val="20"/>
        </w:rPr>
      </w:pPr>
      <w:r>
        <w:rPr>
          <w:rFonts w:eastAsia="Times New Roman"/>
          <w:sz w:val="24"/>
          <w:szCs w:val="24"/>
        </w:rPr>
        <w:t>MIRABETE, Jul</w:t>
      </w:r>
      <w:r>
        <w:rPr>
          <w:rFonts w:eastAsia="Times New Roman"/>
          <w:sz w:val="24"/>
          <w:szCs w:val="24"/>
        </w:rPr>
        <w:t xml:space="preserve">io Fabbrini; FABBRINI, Renato N. </w:t>
      </w:r>
      <w:r>
        <w:rPr>
          <w:rFonts w:eastAsia="Times New Roman"/>
          <w:b/>
          <w:bCs/>
          <w:sz w:val="24"/>
          <w:szCs w:val="24"/>
        </w:rPr>
        <w:t>Manual de Direito Penal, Vol. 2:</w:t>
      </w:r>
      <w:r>
        <w:rPr>
          <w:rFonts w:eastAsia="Times New Roman"/>
          <w:sz w:val="24"/>
          <w:szCs w:val="24"/>
        </w:rPr>
        <w:t xml:space="preserve"> parte</w:t>
      </w:r>
    </w:p>
    <w:p w:rsidR="003F65BE" w:rsidRDefault="00CD6827">
      <w:pPr>
        <w:ind w:left="260"/>
        <w:rPr>
          <w:sz w:val="20"/>
          <w:szCs w:val="20"/>
        </w:rPr>
      </w:pPr>
      <w:r>
        <w:rPr>
          <w:rFonts w:eastAsia="Times New Roman"/>
          <w:sz w:val="24"/>
          <w:szCs w:val="24"/>
        </w:rPr>
        <w:t>especial Arts. 121 a 234-B do CP</w:t>
      </w:r>
      <w:r>
        <w:rPr>
          <w:rFonts w:eastAsia="Times New Roman"/>
          <w:b/>
          <w:bCs/>
          <w:sz w:val="24"/>
          <w:szCs w:val="24"/>
        </w:rPr>
        <w:t>.</w:t>
      </w:r>
      <w:r>
        <w:rPr>
          <w:rFonts w:eastAsia="Times New Roman"/>
          <w:sz w:val="24"/>
          <w:szCs w:val="24"/>
        </w:rPr>
        <w:t xml:space="preserve"> São Paulo: Atlas, 2011.</w:t>
      </w:r>
    </w:p>
    <w:p w:rsidR="003F65BE" w:rsidRDefault="003F65BE">
      <w:pPr>
        <w:spacing w:line="276" w:lineRule="exact"/>
        <w:rPr>
          <w:sz w:val="20"/>
          <w:szCs w:val="20"/>
        </w:rPr>
      </w:pPr>
    </w:p>
    <w:p w:rsidR="003F65BE" w:rsidRDefault="00CD6827">
      <w:pPr>
        <w:ind w:left="260"/>
        <w:rPr>
          <w:sz w:val="20"/>
          <w:szCs w:val="20"/>
        </w:rPr>
      </w:pPr>
      <w:r>
        <w:rPr>
          <w:rFonts w:eastAsia="Times New Roman"/>
          <w:sz w:val="24"/>
          <w:szCs w:val="24"/>
        </w:rPr>
        <w:t xml:space="preserve">MONTEIRO, Antonio Lopes. </w:t>
      </w:r>
      <w:r>
        <w:rPr>
          <w:rFonts w:eastAsia="Times New Roman"/>
          <w:b/>
          <w:bCs/>
          <w:sz w:val="24"/>
          <w:szCs w:val="24"/>
        </w:rPr>
        <w:t>Crimes Hediondos</w:t>
      </w:r>
      <w:r>
        <w:rPr>
          <w:rFonts w:eastAsia="Times New Roman"/>
          <w:sz w:val="24"/>
          <w:szCs w:val="24"/>
        </w:rPr>
        <w:t>: texto, comentários e aspectos polêmicos.</w:t>
      </w:r>
    </w:p>
    <w:p w:rsidR="003F65BE" w:rsidRDefault="00CD6827">
      <w:pPr>
        <w:ind w:left="260"/>
        <w:rPr>
          <w:sz w:val="20"/>
          <w:szCs w:val="20"/>
        </w:rPr>
      </w:pPr>
      <w:r>
        <w:rPr>
          <w:rFonts w:eastAsia="Times New Roman"/>
          <w:sz w:val="24"/>
          <w:szCs w:val="24"/>
        </w:rPr>
        <w:t>São Paulo: Saraiva, 2010.</w:t>
      </w:r>
    </w:p>
    <w:p w:rsidR="003F65BE" w:rsidRDefault="003F65BE">
      <w:pPr>
        <w:spacing w:line="288" w:lineRule="exact"/>
        <w:rPr>
          <w:sz w:val="20"/>
          <w:szCs w:val="20"/>
        </w:rPr>
      </w:pPr>
    </w:p>
    <w:p w:rsidR="003F65BE" w:rsidRDefault="00CD6827">
      <w:pPr>
        <w:spacing w:line="234" w:lineRule="auto"/>
        <w:ind w:left="260"/>
        <w:jc w:val="both"/>
        <w:rPr>
          <w:sz w:val="20"/>
          <w:szCs w:val="20"/>
        </w:rPr>
      </w:pPr>
      <w:r>
        <w:rPr>
          <w:rFonts w:eastAsia="Times New Roman"/>
          <w:sz w:val="24"/>
          <w:szCs w:val="24"/>
        </w:rPr>
        <w:t xml:space="preserve">NUCCI, Guilherme de Souza. </w:t>
      </w:r>
      <w:r>
        <w:rPr>
          <w:rFonts w:eastAsia="Times New Roman"/>
          <w:b/>
          <w:bCs/>
          <w:sz w:val="24"/>
          <w:szCs w:val="24"/>
        </w:rPr>
        <w:t>Código Penal Comentado</w:t>
      </w:r>
      <w:r>
        <w:rPr>
          <w:rFonts w:eastAsia="Times New Roman"/>
          <w:sz w:val="24"/>
          <w:szCs w:val="24"/>
        </w:rPr>
        <w:t>. São Paulo: Editora Revista dos Tribunais, 2010.</w:t>
      </w:r>
    </w:p>
    <w:p w:rsidR="003F65BE" w:rsidRDefault="003F65BE">
      <w:pPr>
        <w:spacing w:line="290" w:lineRule="exact"/>
        <w:rPr>
          <w:sz w:val="20"/>
          <w:szCs w:val="20"/>
        </w:rPr>
      </w:pPr>
    </w:p>
    <w:p w:rsidR="003F65BE" w:rsidRDefault="00CD6827">
      <w:pPr>
        <w:spacing w:line="234" w:lineRule="auto"/>
        <w:ind w:left="260" w:firstLine="60"/>
        <w:jc w:val="both"/>
        <w:rPr>
          <w:sz w:val="20"/>
          <w:szCs w:val="20"/>
        </w:rPr>
      </w:pPr>
      <w:r>
        <w:rPr>
          <w:rFonts w:eastAsia="Times New Roman"/>
          <w:sz w:val="24"/>
          <w:szCs w:val="24"/>
        </w:rPr>
        <w:t xml:space="preserve">NUCCI, Guilherme de Souza. </w:t>
      </w:r>
      <w:r>
        <w:rPr>
          <w:rFonts w:eastAsia="Times New Roman"/>
          <w:b/>
          <w:bCs/>
          <w:sz w:val="24"/>
          <w:szCs w:val="24"/>
        </w:rPr>
        <w:t>Crimes Contra Dignidade Sexual.</w:t>
      </w:r>
      <w:r>
        <w:rPr>
          <w:rFonts w:eastAsia="Times New Roman"/>
          <w:sz w:val="24"/>
          <w:szCs w:val="24"/>
        </w:rPr>
        <w:t xml:space="preserve"> Revista dos Tribunais, São Paulo, 2010.</w:t>
      </w:r>
    </w:p>
    <w:p w:rsidR="003F65BE" w:rsidRDefault="003F65BE">
      <w:pPr>
        <w:spacing w:line="278" w:lineRule="exact"/>
        <w:rPr>
          <w:sz w:val="20"/>
          <w:szCs w:val="20"/>
        </w:rPr>
      </w:pPr>
    </w:p>
    <w:p w:rsidR="003F65BE" w:rsidRDefault="00CD6827">
      <w:pPr>
        <w:ind w:left="260"/>
        <w:rPr>
          <w:sz w:val="20"/>
          <w:szCs w:val="20"/>
        </w:rPr>
      </w:pPr>
      <w:r>
        <w:rPr>
          <w:rFonts w:eastAsia="Times New Roman"/>
          <w:b/>
          <w:bCs/>
          <w:sz w:val="24"/>
          <w:szCs w:val="24"/>
        </w:rPr>
        <w:t xml:space="preserve">________________. Código penal comentado. </w:t>
      </w:r>
      <w:r>
        <w:rPr>
          <w:rFonts w:eastAsia="Times New Roman"/>
          <w:sz w:val="24"/>
          <w:szCs w:val="24"/>
        </w:rPr>
        <w:t>Rio de Janeiro</w:t>
      </w:r>
      <w:r>
        <w:rPr>
          <w:rFonts w:eastAsia="Times New Roman"/>
          <w:sz w:val="24"/>
          <w:szCs w:val="24"/>
        </w:rPr>
        <w:t>: Impetus, 2011.</w:t>
      </w:r>
    </w:p>
    <w:p w:rsidR="003F65BE" w:rsidRDefault="003F65BE">
      <w:pPr>
        <w:spacing w:line="12" w:lineRule="exact"/>
        <w:rPr>
          <w:sz w:val="20"/>
          <w:szCs w:val="20"/>
        </w:rPr>
      </w:pPr>
    </w:p>
    <w:p w:rsidR="003F65BE" w:rsidRDefault="00CD6827">
      <w:pPr>
        <w:spacing w:line="234" w:lineRule="auto"/>
        <w:ind w:left="260" w:right="20"/>
        <w:jc w:val="both"/>
        <w:rPr>
          <w:sz w:val="20"/>
          <w:szCs w:val="20"/>
        </w:rPr>
      </w:pPr>
      <w:r>
        <w:rPr>
          <w:rFonts w:eastAsia="Times New Roman"/>
          <w:sz w:val="24"/>
          <w:szCs w:val="24"/>
        </w:rPr>
        <w:t>PRADO, Luiz Regis</w:t>
      </w:r>
      <w:r>
        <w:rPr>
          <w:rFonts w:eastAsia="Times New Roman"/>
          <w:b/>
          <w:bCs/>
          <w:sz w:val="24"/>
          <w:szCs w:val="24"/>
        </w:rPr>
        <w:t>. Curso de Direito Penal brasileiro.</w:t>
      </w:r>
      <w:r>
        <w:rPr>
          <w:rFonts w:eastAsia="Times New Roman"/>
          <w:sz w:val="24"/>
          <w:szCs w:val="24"/>
        </w:rPr>
        <w:t xml:space="preserve"> Parte Geral, v. 1. 7. São Paulo: RT, 2007.</w:t>
      </w:r>
    </w:p>
    <w:p w:rsidR="003F65BE" w:rsidRDefault="003F65BE">
      <w:pPr>
        <w:spacing w:line="278" w:lineRule="exact"/>
        <w:rPr>
          <w:sz w:val="20"/>
          <w:szCs w:val="20"/>
        </w:rPr>
      </w:pPr>
    </w:p>
    <w:p w:rsidR="003F65BE" w:rsidRDefault="00CD6827">
      <w:pPr>
        <w:ind w:left="260"/>
        <w:rPr>
          <w:sz w:val="20"/>
          <w:szCs w:val="20"/>
        </w:rPr>
      </w:pPr>
      <w:r>
        <w:rPr>
          <w:rFonts w:eastAsia="Times New Roman"/>
          <w:sz w:val="24"/>
          <w:szCs w:val="24"/>
        </w:rPr>
        <w:t xml:space="preserve">QUEIROZ, Paulo. </w:t>
      </w:r>
      <w:r>
        <w:rPr>
          <w:rFonts w:eastAsia="Times New Roman"/>
          <w:b/>
          <w:bCs/>
          <w:sz w:val="24"/>
          <w:szCs w:val="24"/>
        </w:rPr>
        <w:t>Direito penal</w:t>
      </w:r>
      <w:r>
        <w:rPr>
          <w:rFonts w:eastAsia="Times New Roman"/>
          <w:sz w:val="24"/>
          <w:szCs w:val="24"/>
        </w:rPr>
        <w:t>: parte geral. São Paulo: Saraiva, 2006.</w:t>
      </w:r>
    </w:p>
    <w:p w:rsidR="003F65BE" w:rsidRDefault="003F65BE">
      <w:pPr>
        <w:spacing w:line="276" w:lineRule="exact"/>
        <w:rPr>
          <w:sz w:val="20"/>
          <w:szCs w:val="20"/>
        </w:rPr>
      </w:pPr>
    </w:p>
    <w:p w:rsidR="003F65BE" w:rsidRDefault="00CD6827">
      <w:pPr>
        <w:ind w:left="260"/>
        <w:rPr>
          <w:sz w:val="20"/>
          <w:szCs w:val="20"/>
        </w:rPr>
      </w:pPr>
      <w:r>
        <w:rPr>
          <w:rFonts w:eastAsia="Times New Roman"/>
          <w:sz w:val="24"/>
          <w:szCs w:val="24"/>
        </w:rPr>
        <w:t xml:space="preserve">SANCHES, Mário Antonio. </w:t>
      </w:r>
      <w:r>
        <w:rPr>
          <w:rFonts w:eastAsia="Times New Roman"/>
          <w:b/>
          <w:bCs/>
          <w:sz w:val="24"/>
          <w:szCs w:val="24"/>
        </w:rPr>
        <w:t>Bioética e planejamento familiar</w:t>
      </w:r>
      <w:r>
        <w:rPr>
          <w:rFonts w:eastAsia="Times New Roman"/>
          <w:sz w:val="24"/>
          <w:szCs w:val="24"/>
        </w:rPr>
        <w:t>: perspectiva</w:t>
      </w:r>
      <w:r>
        <w:rPr>
          <w:rFonts w:eastAsia="Times New Roman"/>
          <w:sz w:val="24"/>
          <w:szCs w:val="24"/>
        </w:rPr>
        <w:t>s e escolhas.</w:t>
      </w:r>
    </w:p>
    <w:p w:rsidR="003F65BE" w:rsidRDefault="00CD6827">
      <w:pPr>
        <w:ind w:left="260"/>
        <w:rPr>
          <w:sz w:val="20"/>
          <w:szCs w:val="20"/>
        </w:rPr>
      </w:pPr>
      <w:r>
        <w:rPr>
          <w:rFonts w:eastAsia="Times New Roman"/>
          <w:sz w:val="24"/>
          <w:szCs w:val="24"/>
        </w:rPr>
        <w:t>Petropólis: RJ,2014. Disponível em:</w:t>
      </w:r>
    </w:p>
    <w:p w:rsidR="003F65BE" w:rsidRDefault="00CD6827">
      <w:pPr>
        <w:ind w:left="260"/>
        <w:rPr>
          <w:sz w:val="20"/>
          <w:szCs w:val="20"/>
        </w:rPr>
      </w:pPr>
      <w:r>
        <w:rPr>
          <w:rFonts w:eastAsia="Times New Roman"/>
          <w:sz w:val="24"/>
          <w:szCs w:val="24"/>
        </w:rPr>
        <w:t>https://books.google.com.br/books?id=UugbBAAAQBAJ&amp;pg=PT13&amp;lpg=PT13&amp;dq=a+vuln</w:t>
      </w:r>
    </w:p>
    <w:p w:rsidR="003F65BE" w:rsidRDefault="00CD6827">
      <w:pPr>
        <w:ind w:left="260"/>
        <w:rPr>
          <w:sz w:val="20"/>
          <w:szCs w:val="20"/>
        </w:rPr>
      </w:pPr>
      <w:r>
        <w:rPr>
          <w:rFonts w:eastAsia="Times New Roman"/>
          <w:sz w:val="24"/>
          <w:szCs w:val="24"/>
        </w:rPr>
        <w:t>erabilidade+moral+++%C3%A9+entendida+como&amp;source=bl&amp;ots=3X_nomE3Oy&amp;sig=28M</w:t>
      </w:r>
    </w:p>
    <w:p w:rsidR="003F65BE" w:rsidRDefault="00CD6827">
      <w:pPr>
        <w:ind w:left="260"/>
        <w:rPr>
          <w:sz w:val="20"/>
          <w:szCs w:val="20"/>
        </w:rPr>
      </w:pPr>
      <w:r>
        <w:rPr>
          <w:rFonts w:eastAsia="Times New Roman"/>
          <w:sz w:val="24"/>
          <w:szCs w:val="24"/>
        </w:rPr>
        <w:t>nmqx8_T1MimSaQukceBxHbt8&amp;hl=ptBR&amp;sa=X&amp;</w:t>
      </w:r>
      <w:r>
        <w:rPr>
          <w:rFonts w:eastAsia="Times New Roman"/>
          <w:sz w:val="24"/>
          <w:szCs w:val="24"/>
        </w:rPr>
        <w:t>ved=0CDcQ6AEwBGoVChMI6dbP77v8</w:t>
      </w:r>
    </w:p>
    <w:p w:rsidR="003F65BE" w:rsidRDefault="00CD6827">
      <w:pPr>
        <w:ind w:left="260"/>
        <w:rPr>
          <w:sz w:val="20"/>
          <w:szCs w:val="20"/>
        </w:rPr>
      </w:pPr>
      <w:r>
        <w:rPr>
          <w:rFonts w:eastAsia="Times New Roman"/>
          <w:sz w:val="24"/>
          <w:szCs w:val="24"/>
        </w:rPr>
        <w:t>xwIVxI6QCh0TkgpT#v=onepage&amp;q=a%20vulnerabilidade%20moral%20%20%20%C3%A9</w:t>
      </w:r>
    </w:p>
    <w:p w:rsidR="003F65BE" w:rsidRDefault="00CD6827">
      <w:pPr>
        <w:spacing w:line="238" w:lineRule="auto"/>
        <w:ind w:left="260"/>
        <w:rPr>
          <w:sz w:val="20"/>
          <w:szCs w:val="20"/>
        </w:rPr>
      </w:pPr>
      <w:r>
        <w:rPr>
          <w:rFonts w:eastAsia="Times New Roman"/>
          <w:sz w:val="24"/>
          <w:szCs w:val="24"/>
        </w:rPr>
        <w:t>%20entendida%20como&amp;f=false Acesso em 15 set 2015.</w:t>
      </w:r>
    </w:p>
    <w:p w:rsidR="003F65BE" w:rsidRDefault="003F65BE">
      <w:pPr>
        <w:spacing w:line="289" w:lineRule="exact"/>
        <w:rPr>
          <w:sz w:val="20"/>
          <w:szCs w:val="20"/>
        </w:rPr>
      </w:pPr>
    </w:p>
    <w:p w:rsidR="003F65BE" w:rsidRDefault="00CD6827">
      <w:pPr>
        <w:spacing w:line="234" w:lineRule="auto"/>
        <w:ind w:left="260"/>
        <w:rPr>
          <w:sz w:val="20"/>
          <w:szCs w:val="20"/>
        </w:rPr>
      </w:pPr>
      <w:r>
        <w:rPr>
          <w:rFonts w:eastAsia="Times New Roman"/>
          <w:sz w:val="24"/>
          <w:szCs w:val="24"/>
        </w:rPr>
        <w:t xml:space="preserve">SILVA, José Afonso da. </w:t>
      </w:r>
      <w:r>
        <w:rPr>
          <w:rFonts w:eastAsia="Times New Roman"/>
          <w:b/>
          <w:bCs/>
          <w:sz w:val="24"/>
          <w:szCs w:val="24"/>
        </w:rPr>
        <w:t>Curso de Direito Constitucional Positivo</w:t>
      </w:r>
      <w:r>
        <w:rPr>
          <w:rFonts w:eastAsia="Times New Roman"/>
          <w:sz w:val="24"/>
          <w:szCs w:val="24"/>
        </w:rPr>
        <w:t>. São Paulo: Malheiros, 2005.</w:t>
      </w:r>
    </w:p>
    <w:p w:rsidR="003F65BE" w:rsidRDefault="003F65BE">
      <w:pPr>
        <w:spacing w:line="290" w:lineRule="exact"/>
        <w:rPr>
          <w:sz w:val="20"/>
          <w:szCs w:val="20"/>
        </w:rPr>
      </w:pPr>
    </w:p>
    <w:p w:rsidR="003F65BE" w:rsidRDefault="00CD6827">
      <w:pPr>
        <w:spacing w:line="234" w:lineRule="auto"/>
        <w:ind w:left="260"/>
        <w:rPr>
          <w:sz w:val="20"/>
          <w:szCs w:val="20"/>
        </w:rPr>
      </w:pPr>
      <w:r>
        <w:rPr>
          <w:rFonts w:eastAsia="Times New Roman"/>
          <w:sz w:val="24"/>
          <w:szCs w:val="24"/>
        </w:rPr>
        <w:t xml:space="preserve">NUCCI, Guilherme de Souza. </w:t>
      </w:r>
      <w:r>
        <w:rPr>
          <w:rFonts w:eastAsia="Times New Roman"/>
          <w:b/>
          <w:bCs/>
          <w:sz w:val="24"/>
          <w:szCs w:val="24"/>
        </w:rPr>
        <w:t>Crimes Contra Dignidade Sexual.</w:t>
      </w:r>
      <w:r>
        <w:rPr>
          <w:rFonts w:eastAsia="Times New Roman"/>
          <w:sz w:val="24"/>
          <w:szCs w:val="24"/>
        </w:rPr>
        <w:t xml:space="preserve"> Revista dos Tribunais, São Paulo, 2010.</w:t>
      </w:r>
    </w:p>
    <w:p w:rsidR="003F65BE" w:rsidRDefault="003F65BE">
      <w:pPr>
        <w:spacing w:line="278" w:lineRule="exact"/>
        <w:rPr>
          <w:sz w:val="20"/>
          <w:szCs w:val="20"/>
        </w:rPr>
      </w:pPr>
    </w:p>
    <w:p w:rsidR="003F65BE" w:rsidRDefault="00CD6827">
      <w:pPr>
        <w:ind w:left="260"/>
        <w:rPr>
          <w:sz w:val="20"/>
          <w:szCs w:val="20"/>
        </w:rPr>
      </w:pPr>
      <w:r>
        <w:rPr>
          <w:rFonts w:eastAsia="Times New Roman"/>
          <w:b/>
          <w:bCs/>
          <w:sz w:val="24"/>
          <w:szCs w:val="24"/>
        </w:rPr>
        <w:t xml:space="preserve">________________. Código penal comentado. </w:t>
      </w:r>
      <w:r>
        <w:rPr>
          <w:rFonts w:eastAsia="Times New Roman"/>
          <w:sz w:val="24"/>
          <w:szCs w:val="24"/>
        </w:rPr>
        <w:t>Rio de Janeiro: Impetus, 2011.</w:t>
      </w:r>
    </w:p>
    <w:p w:rsidR="003F65BE" w:rsidRDefault="003F65BE">
      <w:pPr>
        <w:spacing w:line="12" w:lineRule="exact"/>
        <w:rPr>
          <w:sz w:val="20"/>
          <w:szCs w:val="20"/>
        </w:rPr>
      </w:pPr>
    </w:p>
    <w:p w:rsidR="003F65BE" w:rsidRDefault="00CD6827">
      <w:pPr>
        <w:spacing w:line="234" w:lineRule="auto"/>
        <w:ind w:left="260" w:right="20"/>
        <w:rPr>
          <w:sz w:val="20"/>
          <w:szCs w:val="20"/>
        </w:rPr>
      </w:pPr>
      <w:r>
        <w:rPr>
          <w:rFonts w:eastAsia="Times New Roman"/>
          <w:sz w:val="24"/>
          <w:szCs w:val="24"/>
        </w:rPr>
        <w:t>PRADO, Luiz Regis</w:t>
      </w:r>
      <w:r>
        <w:rPr>
          <w:rFonts w:eastAsia="Times New Roman"/>
          <w:b/>
          <w:bCs/>
          <w:sz w:val="24"/>
          <w:szCs w:val="24"/>
        </w:rPr>
        <w:t>. Curso de Direito Penal brasileiro.</w:t>
      </w:r>
      <w:r>
        <w:rPr>
          <w:rFonts w:eastAsia="Times New Roman"/>
          <w:sz w:val="24"/>
          <w:szCs w:val="24"/>
        </w:rPr>
        <w:t xml:space="preserve"> Parte Geral, v. 1. 7. São Pa</w:t>
      </w:r>
      <w:r>
        <w:rPr>
          <w:rFonts w:eastAsia="Times New Roman"/>
          <w:sz w:val="24"/>
          <w:szCs w:val="24"/>
        </w:rPr>
        <w:t>ulo: RT, 2007.</w:t>
      </w:r>
    </w:p>
    <w:p w:rsidR="003F65BE" w:rsidRDefault="003F65BE">
      <w:pPr>
        <w:sectPr w:rsidR="003F65BE">
          <w:pgSz w:w="11900" w:h="16838"/>
          <w:pgMar w:top="699" w:right="1126" w:bottom="1440" w:left="1440" w:header="0" w:footer="0" w:gutter="0"/>
          <w:cols w:space="720" w:equalWidth="0">
            <w:col w:w="9340"/>
          </w:cols>
        </w:sectPr>
      </w:pPr>
    </w:p>
    <w:p w:rsidR="00CD6827" w:rsidRDefault="00CD6827"/>
    <w:sectPr w:rsidR="00CD6827">
      <w:pgSz w:w="11906" w:h="16838"/>
      <w:pgMar w:top="1440" w:right="1440" w:bottom="1440"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99"/>
    <w:multiLevelType w:val="hybridMultilevel"/>
    <w:tmpl w:val="F6CE002E"/>
    <w:lvl w:ilvl="0" w:tplc="2B7234E6">
      <w:start w:val="1"/>
      <w:numFmt w:val="lowerLetter"/>
      <w:lvlText w:val="%1)"/>
      <w:lvlJc w:val="left"/>
    </w:lvl>
    <w:lvl w:ilvl="1" w:tplc="CEAE7CAC">
      <w:numFmt w:val="decimal"/>
      <w:lvlText w:val=""/>
      <w:lvlJc w:val="left"/>
    </w:lvl>
    <w:lvl w:ilvl="2" w:tplc="53EACD74">
      <w:numFmt w:val="decimal"/>
      <w:lvlText w:val=""/>
      <w:lvlJc w:val="left"/>
    </w:lvl>
    <w:lvl w:ilvl="3" w:tplc="7E446574">
      <w:numFmt w:val="decimal"/>
      <w:lvlText w:val=""/>
      <w:lvlJc w:val="left"/>
    </w:lvl>
    <w:lvl w:ilvl="4" w:tplc="8870D034">
      <w:numFmt w:val="decimal"/>
      <w:lvlText w:val=""/>
      <w:lvlJc w:val="left"/>
    </w:lvl>
    <w:lvl w:ilvl="5" w:tplc="EA627752">
      <w:numFmt w:val="decimal"/>
      <w:lvlText w:val=""/>
      <w:lvlJc w:val="left"/>
    </w:lvl>
    <w:lvl w:ilvl="6" w:tplc="F7C6F4F6">
      <w:numFmt w:val="decimal"/>
      <w:lvlText w:val=""/>
      <w:lvlJc w:val="left"/>
    </w:lvl>
    <w:lvl w:ilvl="7" w:tplc="4D5068CA">
      <w:numFmt w:val="decimal"/>
      <w:lvlText w:val=""/>
      <w:lvlJc w:val="left"/>
    </w:lvl>
    <w:lvl w:ilvl="8" w:tplc="9C68BC10">
      <w:numFmt w:val="decimal"/>
      <w:lvlText w:val=""/>
      <w:lvlJc w:val="left"/>
    </w:lvl>
  </w:abstractNum>
  <w:abstractNum w:abstractNumId="1">
    <w:nsid w:val="00000124"/>
    <w:multiLevelType w:val="hybridMultilevel"/>
    <w:tmpl w:val="554252AE"/>
    <w:lvl w:ilvl="0" w:tplc="5F024514">
      <w:start w:val="35"/>
      <w:numFmt w:val="upperLetter"/>
      <w:lvlText w:val="%1"/>
      <w:lvlJc w:val="left"/>
    </w:lvl>
    <w:lvl w:ilvl="1" w:tplc="9E4EAA86">
      <w:numFmt w:val="decimal"/>
      <w:lvlText w:val=""/>
      <w:lvlJc w:val="left"/>
    </w:lvl>
    <w:lvl w:ilvl="2" w:tplc="851272D0">
      <w:numFmt w:val="decimal"/>
      <w:lvlText w:val=""/>
      <w:lvlJc w:val="left"/>
    </w:lvl>
    <w:lvl w:ilvl="3" w:tplc="092E6AF4">
      <w:numFmt w:val="decimal"/>
      <w:lvlText w:val=""/>
      <w:lvlJc w:val="left"/>
    </w:lvl>
    <w:lvl w:ilvl="4" w:tplc="A8A40652">
      <w:numFmt w:val="decimal"/>
      <w:lvlText w:val=""/>
      <w:lvlJc w:val="left"/>
    </w:lvl>
    <w:lvl w:ilvl="5" w:tplc="F79E0D92">
      <w:numFmt w:val="decimal"/>
      <w:lvlText w:val=""/>
      <w:lvlJc w:val="left"/>
    </w:lvl>
    <w:lvl w:ilvl="6" w:tplc="0B52C3A0">
      <w:numFmt w:val="decimal"/>
      <w:lvlText w:val=""/>
      <w:lvlJc w:val="left"/>
    </w:lvl>
    <w:lvl w:ilvl="7" w:tplc="4C6E7DF4">
      <w:numFmt w:val="decimal"/>
      <w:lvlText w:val=""/>
      <w:lvlJc w:val="left"/>
    </w:lvl>
    <w:lvl w:ilvl="8" w:tplc="6310CB12">
      <w:numFmt w:val="decimal"/>
      <w:lvlText w:val=""/>
      <w:lvlJc w:val="left"/>
    </w:lvl>
  </w:abstractNum>
  <w:abstractNum w:abstractNumId="2">
    <w:nsid w:val="0000074D"/>
    <w:multiLevelType w:val="hybridMultilevel"/>
    <w:tmpl w:val="7A2C5B36"/>
    <w:lvl w:ilvl="0" w:tplc="A7ECA584">
      <w:start w:val="1"/>
      <w:numFmt w:val="bullet"/>
      <w:lvlText w:val="é"/>
      <w:lvlJc w:val="left"/>
    </w:lvl>
    <w:lvl w:ilvl="1" w:tplc="4EB87B56">
      <w:numFmt w:val="decimal"/>
      <w:lvlText w:val=""/>
      <w:lvlJc w:val="left"/>
    </w:lvl>
    <w:lvl w:ilvl="2" w:tplc="094E6758">
      <w:numFmt w:val="decimal"/>
      <w:lvlText w:val=""/>
      <w:lvlJc w:val="left"/>
    </w:lvl>
    <w:lvl w:ilvl="3" w:tplc="F6969B80">
      <w:numFmt w:val="decimal"/>
      <w:lvlText w:val=""/>
      <w:lvlJc w:val="left"/>
    </w:lvl>
    <w:lvl w:ilvl="4" w:tplc="F3EC69E2">
      <w:numFmt w:val="decimal"/>
      <w:lvlText w:val=""/>
      <w:lvlJc w:val="left"/>
    </w:lvl>
    <w:lvl w:ilvl="5" w:tplc="6184699A">
      <w:numFmt w:val="decimal"/>
      <w:lvlText w:val=""/>
      <w:lvlJc w:val="left"/>
    </w:lvl>
    <w:lvl w:ilvl="6" w:tplc="9006BA36">
      <w:numFmt w:val="decimal"/>
      <w:lvlText w:val=""/>
      <w:lvlJc w:val="left"/>
    </w:lvl>
    <w:lvl w:ilvl="7" w:tplc="3A821AF4">
      <w:numFmt w:val="decimal"/>
      <w:lvlText w:val=""/>
      <w:lvlJc w:val="left"/>
    </w:lvl>
    <w:lvl w:ilvl="8" w:tplc="539A8D70">
      <w:numFmt w:val="decimal"/>
      <w:lvlText w:val=""/>
      <w:lvlJc w:val="left"/>
    </w:lvl>
  </w:abstractNum>
  <w:abstractNum w:abstractNumId="3">
    <w:nsid w:val="00000F3E"/>
    <w:multiLevelType w:val="hybridMultilevel"/>
    <w:tmpl w:val="7C3EB388"/>
    <w:lvl w:ilvl="0" w:tplc="E3141E90">
      <w:start w:val="1"/>
      <w:numFmt w:val="bullet"/>
      <w:lvlText w:val="à"/>
      <w:lvlJc w:val="left"/>
    </w:lvl>
    <w:lvl w:ilvl="1" w:tplc="FBD25D64">
      <w:numFmt w:val="decimal"/>
      <w:lvlText w:val=""/>
      <w:lvlJc w:val="left"/>
    </w:lvl>
    <w:lvl w:ilvl="2" w:tplc="42841932">
      <w:numFmt w:val="decimal"/>
      <w:lvlText w:val=""/>
      <w:lvlJc w:val="left"/>
    </w:lvl>
    <w:lvl w:ilvl="3" w:tplc="18BC5614">
      <w:numFmt w:val="decimal"/>
      <w:lvlText w:val=""/>
      <w:lvlJc w:val="left"/>
    </w:lvl>
    <w:lvl w:ilvl="4" w:tplc="CF1CEB80">
      <w:numFmt w:val="decimal"/>
      <w:lvlText w:val=""/>
      <w:lvlJc w:val="left"/>
    </w:lvl>
    <w:lvl w:ilvl="5" w:tplc="0C1AB998">
      <w:numFmt w:val="decimal"/>
      <w:lvlText w:val=""/>
      <w:lvlJc w:val="left"/>
    </w:lvl>
    <w:lvl w:ilvl="6" w:tplc="89D64C7E">
      <w:numFmt w:val="decimal"/>
      <w:lvlText w:val=""/>
      <w:lvlJc w:val="left"/>
    </w:lvl>
    <w:lvl w:ilvl="7" w:tplc="FD3EF20E">
      <w:numFmt w:val="decimal"/>
      <w:lvlText w:val=""/>
      <w:lvlJc w:val="left"/>
    </w:lvl>
    <w:lvl w:ilvl="8" w:tplc="C6DA4B94">
      <w:numFmt w:val="decimal"/>
      <w:lvlText w:val=""/>
      <w:lvlJc w:val="left"/>
    </w:lvl>
  </w:abstractNum>
  <w:abstractNum w:abstractNumId="4">
    <w:nsid w:val="00001547"/>
    <w:multiLevelType w:val="hybridMultilevel"/>
    <w:tmpl w:val="C7767D14"/>
    <w:lvl w:ilvl="0" w:tplc="D3505E58">
      <w:start w:val="1"/>
      <w:numFmt w:val="bullet"/>
      <w:lvlText w:val="é"/>
      <w:lvlJc w:val="left"/>
    </w:lvl>
    <w:lvl w:ilvl="1" w:tplc="B7BAE832">
      <w:numFmt w:val="decimal"/>
      <w:lvlText w:val=""/>
      <w:lvlJc w:val="left"/>
    </w:lvl>
    <w:lvl w:ilvl="2" w:tplc="71CC2356">
      <w:numFmt w:val="decimal"/>
      <w:lvlText w:val=""/>
      <w:lvlJc w:val="left"/>
    </w:lvl>
    <w:lvl w:ilvl="3" w:tplc="F5520D1C">
      <w:numFmt w:val="decimal"/>
      <w:lvlText w:val=""/>
      <w:lvlJc w:val="left"/>
    </w:lvl>
    <w:lvl w:ilvl="4" w:tplc="69FAFD28">
      <w:numFmt w:val="decimal"/>
      <w:lvlText w:val=""/>
      <w:lvlJc w:val="left"/>
    </w:lvl>
    <w:lvl w:ilvl="5" w:tplc="A60457FE">
      <w:numFmt w:val="decimal"/>
      <w:lvlText w:val=""/>
      <w:lvlJc w:val="left"/>
    </w:lvl>
    <w:lvl w:ilvl="6" w:tplc="0F465746">
      <w:numFmt w:val="decimal"/>
      <w:lvlText w:val=""/>
      <w:lvlJc w:val="left"/>
    </w:lvl>
    <w:lvl w:ilvl="7" w:tplc="6EAAD81E">
      <w:numFmt w:val="decimal"/>
      <w:lvlText w:val=""/>
      <w:lvlJc w:val="left"/>
    </w:lvl>
    <w:lvl w:ilvl="8" w:tplc="93AEFB1C">
      <w:numFmt w:val="decimal"/>
      <w:lvlText w:val=""/>
      <w:lvlJc w:val="left"/>
    </w:lvl>
  </w:abstractNum>
  <w:abstractNum w:abstractNumId="5">
    <w:nsid w:val="000026A6"/>
    <w:multiLevelType w:val="hybridMultilevel"/>
    <w:tmpl w:val="29B8CAFC"/>
    <w:lvl w:ilvl="0" w:tplc="AF40BCFC">
      <w:start w:val="1"/>
      <w:numFmt w:val="bullet"/>
      <w:lvlText w:val="à"/>
      <w:lvlJc w:val="left"/>
    </w:lvl>
    <w:lvl w:ilvl="1" w:tplc="A7B2DCD6">
      <w:numFmt w:val="decimal"/>
      <w:lvlText w:val=""/>
      <w:lvlJc w:val="left"/>
    </w:lvl>
    <w:lvl w:ilvl="2" w:tplc="7E18C636">
      <w:numFmt w:val="decimal"/>
      <w:lvlText w:val=""/>
      <w:lvlJc w:val="left"/>
    </w:lvl>
    <w:lvl w:ilvl="3" w:tplc="C3562F3A">
      <w:numFmt w:val="decimal"/>
      <w:lvlText w:val=""/>
      <w:lvlJc w:val="left"/>
    </w:lvl>
    <w:lvl w:ilvl="4" w:tplc="0EEE1226">
      <w:numFmt w:val="decimal"/>
      <w:lvlText w:val=""/>
      <w:lvlJc w:val="left"/>
    </w:lvl>
    <w:lvl w:ilvl="5" w:tplc="906AB07E">
      <w:numFmt w:val="decimal"/>
      <w:lvlText w:val=""/>
      <w:lvlJc w:val="left"/>
    </w:lvl>
    <w:lvl w:ilvl="6" w:tplc="5CF48486">
      <w:numFmt w:val="decimal"/>
      <w:lvlText w:val=""/>
      <w:lvlJc w:val="left"/>
    </w:lvl>
    <w:lvl w:ilvl="7" w:tplc="69AC68DA">
      <w:numFmt w:val="decimal"/>
      <w:lvlText w:val=""/>
      <w:lvlJc w:val="left"/>
    </w:lvl>
    <w:lvl w:ilvl="8" w:tplc="EFE6E030">
      <w:numFmt w:val="decimal"/>
      <w:lvlText w:val=""/>
      <w:lvlJc w:val="left"/>
    </w:lvl>
  </w:abstractNum>
  <w:abstractNum w:abstractNumId="6">
    <w:nsid w:val="00002D12"/>
    <w:multiLevelType w:val="hybridMultilevel"/>
    <w:tmpl w:val="2C6EF2CE"/>
    <w:lvl w:ilvl="0" w:tplc="7A849704">
      <w:start w:val="1"/>
      <w:numFmt w:val="lowerLetter"/>
      <w:lvlText w:val="%1)"/>
      <w:lvlJc w:val="left"/>
    </w:lvl>
    <w:lvl w:ilvl="1" w:tplc="1B8C2E6A">
      <w:numFmt w:val="decimal"/>
      <w:lvlText w:val=""/>
      <w:lvlJc w:val="left"/>
    </w:lvl>
    <w:lvl w:ilvl="2" w:tplc="118C9E50">
      <w:numFmt w:val="decimal"/>
      <w:lvlText w:val=""/>
      <w:lvlJc w:val="left"/>
    </w:lvl>
    <w:lvl w:ilvl="3" w:tplc="E2FC6E14">
      <w:numFmt w:val="decimal"/>
      <w:lvlText w:val=""/>
      <w:lvlJc w:val="left"/>
    </w:lvl>
    <w:lvl w:ilvl="4" w:tplc="538CBCB8">
      <w:numFmt w:val="decimal"/>
      <w:lvlText w:val=""/>
      <w:lvlJc w:val="left"/>
    </w:lvl>
    <w:lvl w:ilvl="5" w:tplc="65ACE7E6">
      <w:numFmt w:val="decimal"/>
      <w:lvlText w:val=""/>
      <w:lvlJc w:val="left"/>
    </w:lvl>
    <w:lvl w:ilvl="6" w:tplc="25EC29BC">
      <w:numFmt w:val="decimal"/>
      <w:lvlText w:val=""/>
      <w:lvlJc w:val="left"/>
    </w:lvl>
    <w:lvl w:ilvl="7" w:tplc="6128A412">
      <w:numFmt w:val="decimal"/>
      <w:lvlText w:val=""/>
      <w:lvlJc w:val="left"/>
    </w:lvl>
    <w:lvl w:ilvl="8" w:tplc="C9182986">
      <w:numFmt w:val="decimal"/>
      <w:lvlText w:val=""/>
      <w:lvlJc w:val="left"/>
    </w:lvl>
  </w:abstractNum>
  <w:abstractNum w:abstractNumId="7">
    <w:nsid w:val="0000305E"/>
    <w:multiLevelType w:val="hybridMultilevel"/>
    <w:tmpl w:val="F7228F56"/>
    <w:lvl w:ilvl="0" w:tplc="60A28048">
      <w:start w:val="1"/>
      <w:numFmt w:val="bullet"/>
      <w:lvlText w:val="§"/>
      <w:lvlJc w:val="left"/>
    </w:lvl>
    <w:lvl w:ilvl="1" w:tplc="D128922E">
      <w:numFmt w:val="decimal"/>
      <w:lvlText w:val=""/>
      <w:lvlJc w:val="left"/>
    </w:lvl>
    <w:lvl w:ilvl="2" w:tplc="7CFEB74C">
      <w:numFmt w:val="decimal"/>
      <w:lvlText w:val=""/>
      <w:lvlJc w:val="left"/>
    </w:lvl>
    <w:lvl w:ilvl="3" w:tplc="8A58BC8C">
      <w:numFmt w:val="decimal"/>
      <w:lvlText w:val=""/>
      <w:lvlJc w:val="left"/>
    </w:lvl>
    <w:lvl w:ilvl="4" w:tplc="E61EBEA4">
      <w:numFmt w:val="decimal"/>
      <w:lvlText w:val=""/>
      <w:lvlJc w:val="left"/>
    </w:lvl>
    <w:lvl w:ilvl="5" w:tplc="175EF5CA">
      <w:numFmt w:val="decimal"/>
      <w:lvlText w:val=""/>
      <w:lvlJc w:val="left"/>
    </w:lvl>
    <w:lvl w:ilvl="6" w:tplc="F8382750">
      <w:numFmt w:val="decimal"/>
      <w:lvlText w:val=""/>
      <w:lvlJc w:val="left"/>
    </w:lvl>
    <w:lvl w:ilvl="7" w:tplc="A4C2582C">
      <w:numFmt w:val="decimal"/>
      <w:lvlText w:val=""/>
      <w:lvlJc w:val="left"/>
    </w:lvl>
    <w:lvl w:ilvl="8" w:tplc="11F2D016">
      <w:numFmt w:val="decimal"/>
      <w:lvlText w:val=""/>
      <w:lvlJc w:val="left"/>
    </w:lvl>
  </w:abstractNum>
  <w:abstractNum w:abstractNumId="8">
    <w:nsid w:val="0000390C"/>
    <w:multiLevelType w:val="hybridMultilevel"/>
    <w:tmpl w:val="7E0636FE"/>
    <w:lvl w:ilvl="0" w:tplc="FC422B0C">
      <w:start w:val="1"/>
      <w:numFmt w:val="decimal"/>
      <w:lvlText w:val="%1."/>
      <w:lvlJc w:val="left"/>
    </w:lvl>
    <w:lvl w:ilvl="1" w:tplc="EE7832F2">
      <w:numFmt w:val="decimal"/>
      <w:lvlText w:val=""/>
      <w:lvlJc w:val="left"/>
    </w:lvl>
    <w:lvl w:ilvl="2" w:tplc="E4CCF3B4">
      <w:numFmt w:val="decimal"/>
      <w:lvlText w:val=""/>
      <w:lvlJc w:val="left"/>
    </w:lvl>
    <w:lvl w:ilvl="3" w:tplc="F83E2A3C">
      <w:numFmt w:val="decimal"/>
      <w:lvlText w:val=""/>
      <w:lvlJc w:val="left"/>
    </w:lvl>
    <w:lvl w:ilvl="4" w:tplc="9CD28B3E">
      <w:numFmt w:val="decimal"/>
      <w:lvlText w:val=""/>
      <w:lvlJc w:val="left"/>
    </w:lvl>
    <w:lvl w:ilvl="5" w:tplc="5468AA8C">
      <w:numFmt w:val="decimal"/>
      <w:lvlText w:val=""/>
      <w:lvlJc w:val="left"/>
    </w:lvl>
    <w:lvl w:ilvl="6" w:tplc="58622CC4">
      <w:numFmt w:val="decimal"/>
      <w:lvlText w:val=""/>
      <w:lvlJc w:val="left"/>
    </w:lvl>
    <w:lvl w:ilvl="7" w:tplc="DB2E1D24">
      <w:numFmt w:val="decimal"/>
      <w:lvlText w:val=""/>
      <w:lvlJc w:val="left"/>
    </w:lvl>
    <w:lvl w:ilvl="8" w:tplc="5E3C833E">
      <w:numFmt w:val="decimal"/>
      <w:lvlText w:val=""/>
      <w:lvlJc w:val="left"/>
    </w:lvl>
  </w:abstractNum>
  <w:abstractNum w:abstractNumId="9">
    <w:nsid w:val="000039B3"/>
    <w:multiLevelType w:val="hybridMultilevel"/>
    <w:tmpl w:val="206060EC"/>
    <w:lvl w:ilvl="0" w:tplc="BC0CC926">
      <w:start w:val="6"/>
      <w:numFmt w:val="decimal"/>
      <w:lvlText w:val="%1."/>
      <w:lvlJc w:val="left"/>
    </w:lvl>
    <w:lvl w:ilvl="1" w:tplc="4B208100">
      <w:numFmt w:val="decimal"/>
      <w:lvlText w:val=""/>
      <w:lvlJc w:val="left"/>
    </w:lvl>
    <w:lvl w:ilvl="2" w:tplc="6C5A38F4">
      <w:numFmt w:val="decimal"/>
      <w:lvlText w:val=""/>
      <w:lvlJc w:val="left"/>
    </w:lvl>
    <w:lvl w:ilvl="3" w:tplc="3F4811EC">
      <w:numFmt w:val="decimal"/>
      <w:lvlText w:val=""/>
      <w:lvlJc w:val="left"/>
    </w:lvl>
    <w:lvl w:ilvl="4" w:tplc="FDA2D908">
      <w:numFmt w:val="decimal"/>
      <w:lvlText w:val=""/>
      <w:lvlJc w:val="left"/>
    </w:lvl>
    <w:lvl w:ilvl="5" w:tplc="90BE5C62">
      <w:numFmt w:val="decimal"/>
      <w:lvlText w:val=""/>
      <w:lvlJc w:val="left"/>
    </w:lvl>
    <w:lvl w:ilvl="6" w:tplc="894E041E">
      <w:numFmt w:val="decimal"/>
      <w:lvlText w:val=""/>
      <w:lvlJc w:val="left"/>
    </w:lvl>
    <w:lvl w:ilvl="7" w:tplc="42A41168">
      <w:numFmt w:val="decimal"/>
      <w:lvlText w:val=""/>
      <w:lvlJc w:val="left"/>
    </w:lvl>
    <w:lvl w:ilvl="8" w:tplc="20FCB646">
      <w:numFmt w:val="decimal"/>
      <w:lvlText w:val=""/>
      <w:lvlJc w:val="left"/>
    </w:lvl>
  </w:abstractNum>
  <w:abstractNum w:abstractNumId="10">
    <w:nsid w:val="0000428B"/>
    <w:multiLevelType w:val="hybridMultilevel"/>
    <w:tmpl w:val="E7D4382C"/>
    <w:lvl w:ilvl="0" w:tplc="69F8E1CE">
      <w:start w:val="3"/>
      <w:numFmt w:val="lowerLetter"/>
      <w:lvlText w:val="%1)"/>
      <w:lvlJc w:val="left"/>
    </w:lvl>
    <w:lvl w:ilvl="1" w:tplc="26CCECEC">
      <w:numFmt w:val="decimal"/>
      <w:lvlText w:val=""/>
      <w:lvlJc w:val="left"/>
    </w:lvl>
    <w:lvl w:ilvl="2" w:tplc="BB5671A2">
      <w:numFmt w:val="decimal"/>
      <w:lvlText w:val=""/>
      <w:lvlJc w:val="left"/>
    </w:lvl>
    <w:lvl w:ilvl="3" w:tplc="E408CABE">
      <w:numFmt w:val="decimal"/>
      <w:lvlText w:val=""/>
      <w:lvlJc w:val="left"/>
    </w:lvl>
    <w:lvl w:ilvl="4" w:tplc="504CCB14">
      <w:numFmt w:val="decimal"/>
      <w:lvlText w:val=""/>
      <w:lvlJc w:val="left"/>
    </w:lvl>
    <w:lvl w:ilvl="5" w:tplc="51802B1C">
      <w:numFmt w:val="decimal"/>
      <w:lvlText w:val=""/>
      <w:lvlJc w:val="left"/>
    </w:lvl>
    <w:lvl w:ilvl="6" w:tplc="2E54D95E">
      <w:numFmt w:val="decimal"/>
      <w:lvlText w:val=""/>
      <w:lvlJc w:val="left"/>
    </w:lvl>
    <w:lvl w:ilvl="7" w:tplc="A0A69028">
      <w:numFmt w:val="decimal"/>
      <w:lvlText w:val=""/>
      <w:lvlJc w:val="left"/>
    </w:lvl>
    <w:lvl w:ilvl="8" w:tplc="C11E4674">
      <w:numFmt w:val="decimal"/>
      <w:lvlText w:val=""/>
      <w:lvlJc w:val="left"/>
    </w:lvl>
  </w:abstractNum>
  <w:abstractNum w:abstractNumId="11">
    <w:nsid w:val="0000440D"/>
    <w:multiLevelType w:val="hybridMultilevel"/>
    <w:tmpl w:val="73DC19F0"/>
    <w:lvl w:ilvl="0" w:tplc="630C4046">
      <w:start w:val="1"/>
      <w:numFmt w:val="bullet"/>
      <w:lvlText w:val="§"/>
      <w:lvlJc w:val="left"/>
    </w:lvl>
    <w:lvl w:ilvl="1" w:tplc="13DE8EEC">
      <w:numFmt w:val="decimal"/>
      <w:lvlText w:val=""/>
      <w:lvlJc w:val="left"/>
    </w:lvl>
    <w:lvl w:ilvl="2" w:tplc="72DE3C34">
      <w:numFmt w:val="decimal"/>
      <w:lvlText w:val=""/>
      <w:lvlJc w:val="left"/>
    </w:lvl>
    <w:lvl w:ilvl="3" w:tplc="1CE02548">
      <w:numFmt w:val="decimal"/>
      <w:lvlText w:val=""/>
      <w:lvlJc w:val="left"/>
    </w:lvl>
    <w:lvl w:ilvl="4" w:tplc="B964BF44">
      <w:numFmt w:val="decimal"/>
      <w:lvlText w:val=""/>
      <w:lvlJc w:val="left"/>
    </w:lvl>
    <w:lvl w:ilvl="5" w:tplc="18388120">
      <w:numFmt w:val="decimal"/>
      <w:lvlText w:val=""/>
      <w:lvlJc w:val="left"/>
    </w:lvl>
    <w:lvl w:ilvl="6" w:tplc="2B444E3A">
      <w:numFmt w:val="decimal"/>
      <w:lvlText w:val=""/>
      <w:lvlJc w:val="left"/>
    </w:lvl>
    <w:lvl w:ilvl="7" w:tplc="5C709596">
      <w:numFmt w:val="decimal"/>
      <w:lvlText w:val=""/>
      <w:lvlJc w:val="left"/>
    </w:lvl>
    <w:lvl w:ilvl="8" w:tplc="1BC47C9E">
      <w:numFmt w:val="decimal"/>
      <w:lvlText w:val=""/>
      <w:lvlJc w:val="left"/>
    </w:lvl>
  </w:abstractNum>
  <w:abstractNum w:abstractNumId="12">
    <w:nsid w:val="0000491C"/>
    <w:multiLevelType w:val="hybridMultilevel"/>
    <w:tmpl w:val="39A26D3C"/>
    <w:lvl w:ilvl="0" w:tplc="F7D43634">
      <w:start w:val="35"/>
      <w:numFmt w:val="upperLetter"/>
      <w:lvlText w:val="%1"/>
      <w:lvlJc w:val="left"/>
    </w:lvl>
    <w:lvl w:ilvl="1" w:tplc="BCB2720A">
      <w:numFmt w:val="decimal"/>
      <w:lvlText w:val=""/>
      <w:lvlJc w:val="left"/>
    </w:lvl>
    <w:lvl w:ilvl="2" w:tplc="8878D9D4">
      <w:numFmt w:val="decimal"/>
      <w:lvlText w:val=""/>
      <w:lvlJc w:val="left"/>
    </w:lvl>
    <w:lvl w:ilvl="3" w:tplc="5498BF9E">
      <w:numFmt w:val="decimal"/>
      <w:lvlText w:val=""/>
      <w:lvlJc w:val="left"/>
    </w:lvl>
    <w:lvl w:ilvl="4" w:tplc="BA4465E4">
      <w:numFmt w:val="decimal"/>
      <w:lvlText w:val=""/>
      <w:lvlJc w:val="left"/>
    </w:lvl>
    <w:lvl w:ilvl="5" w:tplc="372878BA">
      <w:numFmt w:val="decimal"/>
      <w:lvlText w:val=""/>
      <w:lvlJc w:val="left"/>
    </w:lvl>
    <w:lvl w:ilvl="6" w:tplc="D22C81EA">
      <w:numFmt w:val="decimal"/>
      <w:lvlText w:val=""/>
      <w:lvlJc w:val="left"/>
    </w:lvl>
    <w:lvl w:ilvl="7" w:tplc="715C6FAC">
      <w:numFmt w:val="decimal"/>
      <w:lvlText w:val=""/>
      <w:lvlJc w:val="left"/>
    </w:lvl>
    <w:lvl w:ilvl="8" w:tplc="A52C385E">
      <w:numFmt w:val="decimal"/>
      <w:lvlText w:val=""/>
      <w:lvlJc w:val="left"/>
    </w:lvl>
  </w:abstractNum>
  <w:abstractNum w:abstractNumId="13">
    <w:nsid w:val="00004D06"/>
    <w:multiLevelType w:val="hybridMultilevel"/>
    <w:tmpl w:val="DC507F16"/>
    <w:lvl w:ilvl="0" w:tplc="D22C57A6">
      <w:start w:val="2"/>
      <w:numFmt w:val="decimal"/>
      <w:lvlText w:val="%1."/>
      <w:lvlJc w:val="left"/>
    </w:lvl>
    <w:lvl w:ilvl="1" w:tplc="E654E87C">
      <w:numFmt w:val="decimal"/>
      <w:lvlText w:val=""/>
      <w:lvlJc w:val="left"/>
    </w:lvl>
    <w:lvl w:ilvl="2" w:tplc="9BA21DEE">
      <w:numFmt w:val="decimal"/>
      <w:lvlText w:val=""/>
      <w:lvlJc w:val="left"/>
    </w:lvl>
    <w:lvl w:ilvl="3" w:tplc="99F4B460">
      <w:numFmt w:val="decimal"/>
      <w:lvlText w:val=""/>
      <w:lvlJc w:val="left"/>
    </w:lvl>
    <w:lvl w:ilvl="4" w:tplc="443E7548">
      <w:numFmt w:val="decimal"/>
      <w:lvlText w:val=""/>
      <w:lvlJc w:val="left"/>
    </w:lvl>
    <w:lvl w:ilvl="5" w:tplc="A7ECAAAE">
      <w:numFmt w:val="decimal"/>
      <w:lvlText w:val=""/>
      <w:lvlJc w:val="left"/>
    </w:lvl>
    <w:lvl w:ilvl="6" w:tplc="4D5C5778">
      <w:numFmt w:val="decimal"/>
      <w:lvlText w:val=""/>
      <w:lvlJc w:val="left"/>
    </w:lvl>
    <w:lvl w:ilvl="7" w:tplc="2F78876A">
      <w:numFmt w:val="decimal"/>
      <w:lvlText w:val=""/>
      <w:lvlJc w:val="left"/>
    </w:lvl>
    <w:lvl w:ilvl="8" w:tplc="9500BBC0">
      <w:numFmt w:val="decimal"/>
      <w:lvlText w:val=""/>
      <w:lvlJc w:val="left"/>
    </w:lvl>
  </w:abstractNum>
  <w:abstractNum w:abstractNumId="14">
    <w:nsid w:val="00004DB7"/>
    <w:multiLevelType w:val="hybridMultilevel"/>
    <w:tmpl w:val="415CCFDA"/>
    <w:lvl w:ilvl="0" w:tplc="6B8658AE">
      <w:start w:val="1"/>
      <w:numFmt w:val="bullet"/>
      <w:lvlText w:val="É"/>
      <w:lvlJc w:val="left"/>
    </w:lvl>
    <w:lvl w:ilvl="1" w:tplc="9CFE3776">
      <w:numFmt w:val="decimal"/>
      <w:lvlText w:val=""/>
      <w:lvlJc w:val="left"/>
    </w:lvl>
    <w:lvl w:ilvl="2" w:tplc="1032C1BC">
      <w:numFmt w:val="decimal"/>
      <w:lvlText w:val=""/>
      <w:lvlJc w:val="left"/>
    </w:lvl>
    <w:lvl w:ilvl="3" w:tplc="F53827EE">
      <w:numFmt w:val="decimal"/>
      <w:lvlText w:val=""/>
      <w:lvlJc w:val="left"/>
    </w:lvl>
    <w:lvl w:ilvl="4" w:tplc="25D0199C">
      <w:numFmt w:val="decimal"/>
      <w:lvlText w:val=""/>
      <w:lvlJc w:val="left"/>
    </w:lvl>
    <w:lvl w:ilvl="5" w:tplc="F28C71D2">
      <w:numFmt w:val="decimal"/>
      <w:lvlText w:val=""/>
      <w:lvlJc w:val="left"/>
    </w:lvl>
    <w:lvl w:ilvl="6" w:tplc="FDECD332">
      <w:numFmt w:val="decimal"/>
      <w:lvlText w:val=""/>
      <w:lvlJc w:val="left"/>
    </w:lvl>
    <w:lvl w:ilvl="7" w:tplc="D58CD20C">
      <w:numFmt w:val="decimal"/>
      <w:lvlText w:val=""/>
      <w:lvlJc w:val="left"/>
    </w:lvl>
    <w:lvl w:ilvl="8" w:tplc="90EC4C12">
      <w:numFmt w:val="decimal"/>
      <w:lvlText w:val=""/>
      <w:lvlJc w:val="left"/>
    </w:lvl>
  </w:abstractNum>
  <w:abstractNum w:abstractNumId="15">
    <w:nsid w:val="00004DC8"/>
    <w:multiLevelType w:val="hybridMultilevel"/>
    <w:tmpl w:val="97DA0D9A"/>
    <w:lvl w:ilvl="0" w:tplc="4B92B022">
      <w:start w:val="1"/>
      <w:numFmt w:val="bullet"/>
      <w:lvlText w:val="é"/>
      <w:lvlJc w:val="left"/>
    </w:lvl>
    <w:lvl w:ilvl="1" w:tplc="85544FBE">
      <w:numFmt w:val="decimal"/>
      <w:lvlText w:val=""/>
      <w:lvlJc w:val="left"/>
    </w:lvl>
    <w:lvl w:ilvl="2" w:tplc="9C18E9E2">
      <w:numFmt w:val="decimal"/>
      <w:lvlText w:val=""/>
      <w:lvlJc w:val="left"/>
    </w:lvl>
    <w:lvl w:ilvl="3" w:tplc="2AAE998E">
      <w:numFmt w:val="decimal"/>
      <w:lvlText w:val=""/>
      <w:lvlJc w:val="left"/>
    </w:lvl>
    <w:lvl w:ilvl="4" w:tplc="6F929318">
      <w:numFmt w:val="decimal"/>
      <w:lvlText w:val=""/>
      <w:lvlJc w:val="left"/>
    </w:lvl>
    <w:lvl w:ilvl="5" w:tplc="A5B0BB1E">
      <w:numFmt w:val="decimal"/>
      <w:lvlText w:val=""/>
      <w:lvlJc w:val="left"/>
    </w:lvl>
    <w:lvl w:ilvl="6" w:tplc="E08C1870">
      <w:numFmt w:val="decimal"/>
      <w:lvlText w:val=""/>
      <w:lvlJc w:val="left"/>
    </w:lvl>
    <w:lvl w:ilvl="7" w:tplc="EE84F0B0">
      <w:numFmt w:val="decimal"/>
      <w:lvlText w:val=""/>
      <w:lvlJc w:val="left"/>
    </w:lvl>
    <w:lvl w:ilvl="8" w:tplc="3BC20716">
      <w:numFmt w:val="decimal"/>
      <w:lvlText w:val=""/>
      <w:lvlJc w:val="left"/>
    </w:lvl>
  </w:abstractNum>
  <w:abstractNum w:abstractNumId="16">
    <w:nsid w:val="000054DE"/>
    <w:multiLevelType w:val="hybridMultilevel"/>
    <w:tmpl w:val="2150495C"/>
    <w:lvl w:ilvl="0" w:tplc="AF82A8E4">
      <w:start w:val="1"/>
      <w:numFmt w:val="decimal"/>
      <w:lvlText w:val="%1."/>
      <w:lvlJc w:val="left"/>
    </w:lvl>
    <w:lvl w:ilvl="1" w:tplc="DFC8B270">
      <w:numFmt w:val="decimal"/>
      <w:lvlText w:val=""/>
      <w:lvlJc w:val="left"/>
    </w:lvl>
    <w:lvl w:ilvl="2" w:tplc="1DE2CC02">
      <w:numFmt w:val="decimal"/>
      <w:lvlText w:val=""/>
      <w:lvlJc w:val="left"/>
    </w:lvl>
    <w:lvl w:ilvl="3" w:tplc="05CA7198">
      <w:numFmt w:val="decimal"/>
      <w:lvlText w:val=""/>
      <w:lvlJc w:val="left"/>
    </w:lvl>
    <w:lvl w:ilvl="4" w:tplc="3B185D7E">
      <w:numFmt w:val="decimal"/>
      <w:lvlText w:val=""/>
      <w:lvlJc w:val="left"/>
    </w:lvl>
    <w:lvl w:ilvl="5" w:tplc="3560EF38">
      <w:numFmt w:val="decimal"/>
      <w:lvlText w:val=""/>
      <w:lvlJc w:val="left"/>
    </w:lvl>
    <w:lvl w:ilvl="6" w:tplc="C540B70E">
      <w:numFmt w:val="decimal"/>
      <w:lvlText w:val=""/>
      <w:lvlJc w:val="left"/>
    </w:lvl>
    <w:lvl w:ilvl="7" w:tplc="2C82CFDC">
      <w:numFmt w:val="decimal"/>
      <w:lvlText w:val=""/>
      <w:lvlJc w:val="left"/>
    </w:lvl>
    <w:lvl w:ilvl="8" w:tplc="EBDE4090">
      <w:numFmt w:val="decimal"/>
      <w:lvlText w:val=""/>
      <w:lvlJc w:val="left"/>
    </w:lvl>
  </w:abstractNum>
  <w:abstractNum w:abstractNumId="17">
    <w:nsid w:val="00005D03"/>
    <w:multiLevelType w:val="hybridMultilevel"/>
    <w:tmpl w:val="06D6ACB2"/>
    <w:lvl w:ilvl="0" w:tplc="D9289186">
      <w:start w:val="15"/>
      <w:numFmt w:val="lowerLetter"/>
      <w:lvlText w:val="%1"/>
      <w:lvlJc w:val="left"/>
    </w:lvl>
    <w:lvl w:ilvl="1" w:tplc="605C397E">
      <w:numFmt w:val="decimal"/>
      <w:lvlText w:val=""/>
      <w:lvlJc w:val="left"/>
    </w:lvl>
    <w:lvl w:ilvl="2" w:tplc="ECC24E1C">
      <w:numFmt w:val="decimal"/>
      <w:lvlText w:val=""/>
      <w:lvlJc w:val="left"/>
    </w:lvl>
    <w:lvl w:ilvl="3" w:tplc="04FED39E">
      <w:numFmt w:val="decimal"/>
      <w:lvlText w:val=""/>
      <w:lvlJc w:val="left"/>
    </w:lvl>
    <w:lvl w:ilvl="4" w:tplc="CA944108">
      <w:numFmt w:val="decimal"/>
      <w:lvlText w:val=""/>
      <w:lvlJc w:val="left"/>
    </w:lvl>
    <w:lvl w:ilvl="5" w:tplc="319EEF10">
      <w:numFmt w:val="decimal"/>
      <w:lvlText w:val=""/>
      <w:lvlJc w:val="left"/>
    </w:lvl>
    <w:lvl w:ilvl="6" w:tplc="FAE02E98">
      <w:numFmt w:val="decimal"/>
      <w:lvlText w:val=""/>
      <w:lvlJc w:val="left"/>
    </w:lvl>
    <w:lvl w:ilvl="7" w:tplc="FA72B260">
      <w:numFmt w:val="decimal"/>
      <w:lvlText w:val=""/>
      <w:lvlJc w:val="left"/>
    </w:lvl>
    <w:lvl w:ilvl="8" w:tplc="A6EAFEA0">
      <w:numFmt w:val="decimal"/>
      <w:lvlText w:val=""/>
      <w:lvlJc w:val="left"/>
    </w:lvl>
  </w:abstractNum>
  <w:abstractNum w:abstractNumId="18">
    <w:nsid w:val="00006443"/>
    <w:multiLevelType w:val="hybridMultilevel"/>
    <w:tmpl w:val="358811F4"/>
    <w:lvl w:ilvl="0" w:tplc="28F80890">
      <w:start w:val="1"/>
      <w:numFmt w:val="bullet"/>
      <w:lvlText w:val="é"/>
      <w:lvlJc w:val="left"/>
    </w:lvl>
    <w:lvl w:ilvl="1" w:tplc="DCE04216">
      <w:start w:val="1"/>
      <w:numFmt w:val="lowerLetter"/>
      <w:lvlText w:val="%2)"/>
      <w:lvlJc w:val="left"/>
    </w:lvl>
    <w:lvl w:ilvl="2" w:tplc="DB9EB736">
      <w:numFmt w:val="decimal"/>
      <w:lvlText w:val=""/>
      <w:lvlJc w:val="left"/>
    </w:lvl>
    <w:lvl w:ilvl="3" w:tplc="41583496">
      <w:numFmt w:val="decimal"/>
      <w:lvlText w:val=""/>
      <w:lvlJc w:val="left"/>
    </w:lvl>
    <w:lvl w:ilvl="4" w:tplc="EB603F1E">
      <w:numFmt w:val="decimal"/>
      <w:lvlText w:val=""/>
      <w:lvlJc w:val="left"/>
    </w:lvl>
    <w:lvl w:ilvl="5" w:tplc="B72EFF24">
      <w:numFmt w:val="decimal"/>
      <w:lvlText w:val=""/>
      <w:lvlJc w:val="left"/>
    </w:lvl>
    <w:lvl w:ilvl="6" w:tplc="A19C4446">
      <w:numFmt w:val="decimal"/>
      <w:lvlText w:val=""/>
      <w:lvlJc w:val="left"/>
    </w:lvl>
    <w:lvl w:ilvl="7" w:tplc="B6849756">
      <w:numFmt w:val="decimal"/>
      <w:lvlText w:val=""/>
      <w:lvlJc w:val="left"/>
    </w:lvl>
    <w:lvl w:ilvl="8" w:tplc="5FE40952">
      <w:numFmt w:val="decimal"/>
      <w:lvlText w:val=""/>
      <w:lvlJc w:val="left"/>
    </w:lvl>
  </w:abstractNum>
  <w:abstractNum w:abstractNumId="19">
    <w:nsid w:val="000066BB"/>
    <w:multiLevelType w:val="hybridMultilevel"/>
    <w:tmpl w:val="05BA2354"/>
    <w:lvl w:ilvl="0" w:tplc="D7183EC4">
      <w:start w:val="1"/>
      <w:numFmt w:val="lowerLetter"/>
      <w:lvlText w:val="%1)"/>
      <w:lvlJc w:val="left"/>
    </w:lvl>
    <w:lvl w:ilvl="1" w:tplc="740C85EC">
      <w:numFmt w:val="decimal"/>
      <w:lvlText w:val=""/>
      <w:lvlJc w:val="left"/>
    </w:lvl>
    <w:lvl w:ilvl="2" w:tplc="4F0E21C4">
      <w:numFmt w:val="decimal"/>
      <w:lvlText w:val=""/>
      <w:lvlJc w:val="left"/>
    </w:lvl>
    <w:lvl w:ilvl="3" w:tplc="BA34E8B2">
      <w:numFmt w:val="decimal"/>
      <w:lvlText w:val=""/>
      <w:lvlJc w:val="left"/>
    </w:lvl>
    <w:lvl w:ilvl="4" w:tplc="7988F006">
      <w:numFmt w:val="decimal"/>
      <w:lvlText w:val=""/>
      <w:lvlJc w:val="left"/>
    </w:lvl>
    <w:lvl w:ilvl="5" w:tplc="CA106206">
      <w:numFmt w:val="decimal"/>
      <w:lvlText w:val=""/>
      <w:lvlJc w:val="left"/>
    </w:lvl>
    <w:lvl w:ilvl="6" w:tplc="ECD67580">
      <w:numFmt w:val="decimal"/>
      <w:lvlText w:val=""/>
      <w:lvlJc w:val="left"/>
    </w:lvl>
    <w:lvl w:ilvl="7" w:tplc="3698D5B8">
      <w:numFmt w:val="decimal"/>
      <w:lvlText w:val=""/>
      <w:lvlJc w:val="left"/>
    </w:lvl>
    <w:lvl w:ilvl="8" w:tplc="829AB818">
      <w:numFmt w:val="decimal"/>
      <w:lvlText w:val=""/>
      <w:lvlJc w:val="left"/>
    </w:lvl>
  </w:abstractNum>
  <w:abstractNum w:abstractNumId="20">
    <w:nsid w:val="0000701F"/>
    <w:multiLevelType w:val="hybridMultilevel"/>
    <w:tmpl w:val="15B8ADBC"/>
    <w:lvl w:ilvl="0" w:tplc="8C2E36D0">
      <w:start w:val="1"/>
      <w:numFmt w:val="bullet"/>
      <w:lvlText w:val="§"/>
      <w:lvlJc w:val="left"/>
    </w:lvl>
    <w:lvl w:ilvl="1" w:tplc="26864980">
      <w:numFmt w:val="decimal"/>
      <w:lvlText w:val=""/>
      <w:lvlJc w:val="left"/>
    </w:lvl>
    <w:lvl w:ilvl="2" w:tplc="FFEE0DF0">
      <w:numFmt w:val="decimal"/>
      <w:lvlText w:val=""/>
      <w:lvlJc w:val="left"/>
    </w:lvl>
    <w:lvl w:ilvl="3" w:tplc="F7F625A8">
      <w:numFmt w:val="decimal"/>
      <w:lvlText w:val=""/>
      <w:lvlJc w:val="left"/>
    </w:lvl>
    <w:lvl w:ilvl="4" w:tplc="09D8E6C0">
      <w:numFmt w:val="decimal"/>
      <w:lvlText w:val=""/>
      <w:lvlJc w:val="left"/>
    </w:lvl>
    <w:lvl w:ilvl="5" w:tplc="DE1ED4D4">
      <w:numFmt w:val="decimal"/>
      <w:lvlText w:val=""/>
      <w:lvlJc w:val="left"/>
    </w:lvl>
    <w:lvl w:ilvl="6" w:tplc="4EAC97D2">
      <w:numFmt w:val="decimal"/>
      <w:lvlText w:val=""/>
      <w:lvlJc w:val="left"/>
    </w:lvl>
    <w:lvl w:ilvl="7" w:tplc="D5B89D08">
      <w:numFmt w:val="decimal"/>
      <w:lvlText w:val=""/>
      <w:lvlJc w:val="left"/>
    </w:lvl>
    <w:lvl w:ilvl="8" w:tplc="E8E2C9B0">
      <w:numFmt w:val="decimal"/>
      <w:lvlText w:val=""/>
      <w:lvlJc w:val="left"/>
    </w:lvl>
  </w:abstractNum>
  <w:num w:numId="1">
    <w:abstractNumId w:val="8"/>
  </w:num>
  <w:num w:numId="2">
    <w:abstractNumId w:val="3"/>
  </w:num>
  <w:num w:numId="3">
    <w:abstractNumId w:val="0"/>
  </w:num>
  <w:num w:numId="4">
    <w:abstractNumId w:val="1"/>
  </w:num>
  <w:num w:numId="5">
    <w:abstractNumId w:val="7"/>
  </w:num>
  <w:num w:numId="6">
    <w:abstractNumId w:val="11"/>
  </w:num>
  <w:num w:numId="7">
    <w:abstractNumId w:val="12"/>
  </w:num>
  <w:num w:numId="8">
    <w:abstractNumId w:val="13"/>
  </w:num>
  <w:num w:numId="9">
    <w:abstractNumId w:val="14"/>
  </w:num>
  <w:num w:numId="10">
    <w:abstractNumId w:val="4"/>
  </w:num>
  <w:num w:numId="11">
    <w:abstractNumId w:val="16"/>
  </w:num>
  <w:num w:numId="12">
    <w:abstractNumId w:val="9"/>
  </w:num>
  <w:num w:numId="13">
    <w:abstractNumId w:val="6"/>
  </w:num>
  <w:num w:numId="14">
    <w:abstractNumId w:val="2"/>
  </w:num>
  <w:num w:numId="15">
    <w:abstractNumId w:val="15"/>
  </w:num>
  <w:num w:numId="16">
    <w:abstractNumId w:val="18"/>
  </w:num>
  <w:num w:numId="17">
    <w:abstractNumId w:val="19"/>
  </w:num>
  <w:num w:numId="18">
    <w:abstractNumId w:val="10"/>
  </w:num>
  <w:num w:numId="19">
    <w:abstractNumId w:val="5"/>
  </w:num>
  <w:num w:numId="20">
    <w:abstractNumId w:val="2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BE"/>
    <w:rsid w:val="003F65BE"/>
    <w:rsid w:val="00555A4C"/>
    <w:rsid w:val="005D5ACE"/>
    <w:rsid w:val="00CD6827"/>
    <w:rsid w:val="00FA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5E2B5A-ECE5-4D6D-8ECE-0D114DF3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52</Pages>
  <Words>17222</Words>
  <Characters>93001</Characters>
  <Application>Microsoft Office Word</Application>
  <DocSecurity>0</DocSecurity>
  <Lines>775</Lines>
  <Paragraphs>220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Usuário do Windows</cp:lastModifiedBy>
  <cp:revision>4</cp:revision>
  <dcterms:created xsi:type="dcterms:W3CDTF">2017-01-19T11:09:00Z</dcterms:created>
  <dcterms:modified xsi:type="dcterms:W3CDTF">2017-01-19T11:14:00Z</dcterms:modified>
</cp:coreProperties>
</file>